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ascii="宋体" w:hAnsi="宋体" w:cs="宋体"/>
          <w:b/>
          <w:bCs/>
          <w:color w:val="auto"/>
          <w:spacing w:val="-20"/>
          <w:sz w:val="32"/>
          <w:szCs w:val="32"/>
        </w:rPr>
      </w:pPr>
    </w:p>
    <w:p>
      <w:pPr>
        <w:spacing w:line="640" w:lineRule="exact"/>
        <w:jc w:val="center"/>
        <w:rPr>
          <w:rFonts w:ascii="宋体" w:hAnsi="宋体" w:cs="宋体"/>
          <w:b/>
          <w:bCs/>
          <w:color w:val="auto"/>
          <w:spacing w:val="-20"/>
          <w:sz w:val="32"/>
          <w:szCs w:val="32"/>
        </w:rPr>
      </w:pPr>
      <w:r>
        <w:rPr>
          <w:rFonts w:hint="eastAsia" w:ascii="宋体" w:hAnsi="宋体" w:cs="宋体"/>
          <w:b/>
          <w:bCs/>
          <w:color w:val="auto"/>
          <w:spacing w:val="-20"/>
          <w:sz w:val="32"/>
          <w:szCs w:val="32"/>
        </w:rPr>
        <w:t>山西绿建钢结构装配式制造产业及标准厂房建设项目</w:t>
      </w:r>
    </w:p>
    <w:p>
      <w:pPr>
        <w:spacing w:line="640" w:lineRule="exact"/>
        <w:jc w:val="center"/>
        <w:rPr>
          <w:rFonts w:ascii="宋体" w:hAnsi="宋体" w:cs="宋体"/>
          <w:b/>
          <w:bCs/>
          <w:color w:val="auto"/>
          <w:spacing w:val="-20"/>
          <w:sz w:val="32"/>
          <w:szCs w:val="32"/>
        </w:rPr>
      </w:pPr>
      <w:r>
        <w:rPr>
          <w:rFonts w:hint="eastAsia" w:ascii="宋体" w:hAnsi="宋体" w:cs="宋体"/>
          <w:b/>
          <w:bCs/>
          <w:color w:val="auto"/>
          <w:spacing w:val="-20"/>
          <w:sz w:val="32"/>
          <w:szCs w:val="32"/>
        </w:rPr>
        <w:t>竣工环境保护验收意见</w:t>
      </w:r>
    </w:p>
    <w:p>
      <w:pPr>
        <w:spacing w:line="300" w:lineRule="exact"/>
        <w:jc w:val="center"/>
        <w:rPr>
          <w:rFonts w:ascii="汉仪中宋简" w:hAnsi="汉仪中宋简" w:eastAsia="汉仪中宋简" w:cs="汉仪中宋简"/>
          <w:color w:val="auto"/>
          <w:sz w:val="44"/>
          <w:szCs w:val="44"/>
        </w:rPr>
      </w:pPr>
    </w:p>
    <w:p>
      <w:pPr>
        <w:spacing w:line="560" w:lineRule="exact"/>
        <w:ind w:firstLine="600" w:firstLineChars="200"/>
        <w:rPr>
          <w:rFonts w:ascii="宋体" w:hAnsi="宋体" w:cs="宋体"/>
          <w:color w:val="auto"/>
          <w:sz w:val="30"/>
          <w:szCs w:val="30"/>
        </w:rPr>
      </w:pPr>
      <w:r>
        <w:rPr>
          <w:rFonts w:hint="eastAsia" w:ascii="宋体" w:hAnsi="宋体" w:cs="宋体"/>
          <w:color w:val="auto"/>
          <w:sz w:val="30"/>
          <w:szCs w:val="30"/>
        </w:rPr>
        <w:t>2023年</w:t>
      </w:r>
      <w:r>
        <w:rPr>
          <w:rFonts w:hint="eastAsia" w:ascii="宋体" w:hAnsi="宋体" w:cs="宋体"/>
          <w:color w:val="auto"/>
          <w:sz w:val="30"/>
          <w:szCs w:val="30"/>
          <w:lang w:eastAsia="zh"/>
        </w:rPr>
        <w:t>12</w:t>
      </w:r>
      <w:r>
        <w:rPr>
          <w:rFonts w:hint="eastAsia" w:ascii="宋体" w:hAnsi="宋体" w:cs="宋体"/>
          <w:color w:val="auto"/>
          <w:sz w:val="30"/>
          <w:szCs w:val="30"/>
        </w:rPr>
        <w:t>月</w:t>
      </w:r>
      <w:r>
        <w:rPr>
          <w:rFonts w:ascii="宋体" w:hAnsi="宋体" w:cs="宋体"/>
          <w:color w:val="auto"/>
          <w:sz w:val="30"/>
          <w:szCs w:val="30"/>
        </w:rPr>
        <w:t>15</w:t>
      </w:r>
      <w:r>
        <w:rPr>
          <w:rFonts w:hint="eastAsia" w:ascii="宋体" w:hAnsi="宋体" w:cs="宋体"/>
          <w:color w:val="auto"/>
          <w:sz w:val="30"/>
          <w:szCs w:val="30"/>
        </w:rPr>
        <w:t>日，山西安得瑞防护设备有限公司根据《山西绿建钢结构装配式制造产业及标准厂房建设项目竣工环境保护验收监测报告表》，并对照《建设项目竣工环境保护验收暂行办法》，严格按照国家有关法律法规、建设项目竣工环境保护验收技术指南、本项目环境影响评价报告表和审批部门审批决定等要求对本项目进行验收，提出意见如下：</w:t>
      </w:r>
    </w:p>
    <w:p>
      <w:pPr>
        <w:spacing w:line="560" w:lineRule="exact"/>
        <w:ind w:firstLine="602" w:firstLineChars="200"/>
        <w:jc w:val="left"/>
        <w:rPr>
          <w:rFonts w:ascii="宋体" w:hAnsi="宋体" w:cs="宋体"/>
          <w:b/>
          <w:bCs/>
          <w:color w:val="auto"/>
          <w:sz w:val="30"/>
          <w:szCs w:val="30"/>
        </w:rPr>
      </w:pPr>
      <w:r>
        <w:rPr>
          <w:rFonts w:hint="eastAsia" w:ascii="宋体" w:hAnsi="宋体" w:cs="宋体"/>
          <w:b/>
          <w:bCs/>
          <w:color w:val="auto"/>
          <w:sz w:val="30"/>
          <w:szCs w:val="30"/>
        </w:rPr>
        <w:t>一、工程建设基本情况</w:t>
      </w:r>
    </w:p>
    <w:p>
      <w:pPr>
        <w:pStyle w:val="14"/>
        <w:spacing w:line="560" w:lineRule="exact"/>
        <w:ind w:left="602" w:firstLine="0" w:firstLineChars="0"/>
        <w:jc w:val="left"/>
        <w:rPr>
          <w:rFonts w:ascii="宋体" w:hAnsi="宋体" w:cs="宋体"/>
          <w:b/>
          <w:bCs/>
          <w:color w:val="auto"/>
          <w:sz w:val="30"/>
          <w:szCs w:val="30"/>
        </w:rPr>
      </w:pPr>
      <w:r>
        <w:rPr>
          <w:rFonts w:hint="eastAsia" w:ascii="宋体" w:hAnsi="宋体" w:cs="宋体"/>
          <w:b/>
          <w:bCs/>
          <w:color w:val="auto"/>
          <w:sz w:val="30"/>
          <w:szCs w:val="30"/>
        </w:rPr>
        <w:t>1、项目建设地点、规模、主要建设内容</w:t>
      </w:r>
    </w:p>
    <w:p>
      <w:pPr>
        <w:pStyle w:val="14"/>
        <w:spacing w:line="560" w:lineRule="exact"/>
        <w:ind w:left="108" w:firstLine="600"/>
        <w:rPr>
          <w:rFonts w:ascii="宋体" w:hAnsi="宋体" w:cs="宋体"/>
          <w:color w:val="auto"/>
          <w:sz w:val="30"/>
          <w:szCs w:val="30"/>
        </w:rPr>
      </w:pPr>
      <w:r>
        <w:rPr>
          <w:rFonts w:hint="eastAsia" w:ascii="宋体" w:hAnsi="宋体" w:cs="宋体"/>
          <w:color w:val="auto"/>
          <w:sz w:val="30"/>
          <w:szCs w:val="30"/>
        </w:rPr>
        <w:t>山西安得瑞防护设备有限公司位于长治国家高新技术产业开发区漳泽工业园区海森街133号，中心坐标N36°14′25.77″，E113°6′12.04″。本项目生产规模为年产钢结构防护密闭门2000套、钢筋混凝土防护密闭门3000套、钢结构密闭门2000套、钢筋混凝土密闭门2000套及通风风管10000套。工程建设内容及完成情况见表1。</w:t>
      </w:r>
    </w:p>
    <w:p>
      <w:pPr>
        <w:pStyle w:val="6"/>
        <w:widowControl/>
        <w:adjustRightInd w:val="0"/>
        <w:snapToGrid w:val="0"/>
        <w:spacing w:line="440" w:lineRule="exact"/>
        <w:jc w:val="center"/>
        <w:rPr>
          <w:rFonts w:hAnsi="宋体" w:cs="宋体"/>
          <w:bCs/>
          <w:color w:val="auto"/>
          <w:sz w:val="28"/>
          <w:szCs w:val="28"/>
        </w:rPr>
      </w:pPr>
      <w:r>
        <w:rPr>
          <w:rFonts w:hint="eastAsia" w:hAnsi="宋体" w:cs="宋体"/>
          <w:bCs/>
          <w:color w:val="auto"/>
          <w:sz w:val="28"/>
          <w:szCs w:val="28"/>
        </w:rPr>
        <w:t>表1  工程建设内容及完成情况</w:t>
      </w:r>
    </w:p>
    <w:tbl>
      <w:tblPr>
        <w:tblStyle w:val="9"/>
        <w:tblW w:w="522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34"/>
        <w:gridCol w:w="1122"/>
        <w:gridCol w:w="4225"/>
        <w:gridCol w:w="2816"/>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8" w:hRule="atLeast"/>
          <w:jc w:val="center"/>
        </w:trPr>
        <w:tc>
          <w:tcPr>
            <w:tcW w:w="734" w:type="dxa"/>
            <w:vAlign w:val="center"/>
          </w:tcPr>
          <w:p>
            <w:pPr>
              <w:pStyle w:val="27"/>
              <w:spacing w:line="240" w:lineRule="auto"/>
              <w:rPr>
                <w:color w:val="auto"/>
                <w:sz w:val="21"/>
                <w:szCs w:val="21"/>
              </w:rPr>
            </w:pPr>
            <w:r>
              <w:rPr>
                <w:color w:val="auto"/>
                <w:sz w:val="21"/>
                <w:szCs w:val="21"/>
              </w:rPr>
              <w:t>类别</w:t>
            </w:r>
          </w:p>
        </w:tc>
        <w:tc>
          <w:tcPr>
            <w:tcW w:w="1122" w:type="dxa"/>
            <w:vAlign w:val="center"/>
          </w:tcPr>
          <w:p>
            <w:pPr>
              <w:pStyle w:val="27"/>
              <w:spacing w:line="240" w:lineRule="auto"/>
              <w:rPr>
                <w:color w:val="auto"/>
                <w:sz w:val="21"/>
                <w:szCs w:val="21"/>
              </w:rPr>
            </w:pPr>
            <w:r>
              <w:rPr>
                <w:color w:val="auto"/>
                <w:sz w:val="21"/>
                <w:szCs w:val="21"/>
              </w:rPr>
              <w:t>名称</w:t>
            </w:r>
          </w:p>
        </w:tc>
        <w:tc>
          <w:tcPr>
            <w:tcW w:w="4225" w:type="dxa"/>
            <w:vAlign w:val="center"/>
          </w:tcPr>
          <w:p>
            <w:pPr>
              <w:pStyle w:val="27"/>
              <w:spacing w:line="240" w:lineRule="auto"/>
              <w:rPr>
                <w:color w:val="auto"/>
                <w:sz w:val="21"/>
                <w:szCs w:val="21"/>
              </w:rPr>
            </w:pPr>
            <w:r>
              <w:rPr>
                <w:color w:val="auto"/>
                <w:sz w:val="21"/>
                <w:szCs w:val="21"/>
              </w:rPr>
              <w:t>建设内容</w:t>
            </w:r>
          </w:p>
        </w:tc>
        <w:tc>
          <w:tcPr>
            <w:tcW w:w="2816" w:type="dxa"/>
            <w:vAlign w:val="center"/>
          </w:tcPr>
          <w:p>
            <w:pPr>
              <w:pStyle w:val="27"/>
              <w:spacing w:line="240" w:lineRule="auto"/>
              <w:rPr>
                <w:color w:val="auto"/>
                <w:sz w:val="21"/>
                <w:szCs w:val="21"/>
              </w:rPr>
            </w:pPr>
            <w:r>
              <w:rPr>
                <w:color w:val="auto"/>
                <w:sz w:val="21"/>
                <w:szCs w:val="21"/>
              </w:rPr>
              <w:t>建设完成情况</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3" w:hRule="atLeast"/>
          <w:jc w:val="center"/>
        </w:trPr>
        <w:tc>
          <w:tcPr>
            <w:tcW w:w="734" w:type="dxa"/>
            <w:vMerge w:val="restart"/>
            <w:vAlign w:val="center"/>
          </w:tcPr>
          <w:p>
            <w:pPr>
              <w:jc w:val="center"/>
              <w:rPr>
                <w:rFonts w:ascii="Times New Roman" w:hAnsi="Times New Roman"/>
                <w:color w:val="auto"/>
                <w:szCs w:val="21"/>
              </w:rPr>
            </w:pPr>
            <w:r>
              <w:rPr>
                <w:rFonts w:ascii="Times New Roman" w:hAnsi="Times New Roman"/>
                <w:color w:val="auto"/>
                <w:szCs w:val="21"/>
              </w:rPr>
              <w:t>主体工程</w:t>
            </w:r>
          </w:p>
        </w:tc>
        <w:tc>
          <w:tcPr>
            <w:tcW w:w="1122" w:type="dxa"/>
            <w:vAlign w:val="center"/>
          </w:tcPr>
          <w:p>
            <w:pPr>
              <w:jc w:val="center"/>
              <w:rPr>
                <w:rFonts w:ascii="Times New Roman" w:hAnsi="Times New Roman"/>
                <w:color w:val="auto"/>
                <w:szCs w:val="21"/>
              </w:rPr>
            </w:pPr>
            <w:r>
              <w:rPr>
                <w:rFonts w:hint="eastAsia" w:ascii="Times New Roman" w:hAnsi="Times New Roman"/>
                <w:color w:val="auto"/>
                <w:szCs w:val="21"/>
              </w:rPr>
              <w:t>1#厂房</w:t>
            </w:r>
          </w:p>
        </w:tc>
        <w:tc>
          <w:tcPr>
            <w:tcW w:w="4225" w:type="dxa"/>
            <w:vAlign w:val="center"/>
          </w:tcPr>
          <w:p>
            <w:pPr>
              <w:jc w:val="center"/>
              <w:rPr>
                <w:rFonts w:ascii="Times New Roman" w:hAnsi="Times New Roman"/>
                <w:color w:val="auto"/>
                <w:szCs w:val="21"/>
              </w:rPr>
            </w:pPr>
            <w:r>
              <w:rPr>
                <w:rFonts w:hint="eastAsia" w:ascii="Times New Roman" w:hAnsi="Times New Roman"/>
                <w:color w:val="auto"/>
                <w:szCs w:val="21"/>
              </w:rPr>
              <w:t>钢结构厂房，设置混凝土搅拌区、焊接区、喷漆房和成品堆放区；地面硬化，1层，建筑面积4892.14m</w:t>
            </w:r>
            <w:r>
              <w:rPr>
                <w:rFonts w:hint="eastAsia" w:ascii="Times New Roman" w:hAnsi="Times New Roman"/>
                <w:color w:val="auto"/>
                <w:szCs w:val="21"/>
                <w:vertAlign w:val="superscript"/>
              </w:rPr>
              <w:t>2</w:t>
            </w:r>
          </w:p>
        </w:tc>
        <w:tc>
          <w:tcPr>
            <w:tcW w:w="2816" w:type="dxa"/>
            <w:vAlign w:val="center"/>
          </w:tcPr>
          <w:p>
            <w:pPr>
              <w:jc w:val="center"/>
              <w:rPr>
                <w:rFonts w:hint="eastAsia" w:ascii="Times New Roman" w:hAnsi="Times New Roman" w:eastAsia="宋体"/>
                <w:color w:val="auto"/>
                <w:szCs w:val="21"/>
                <w:lang w:eastAsia="zh-CN"/>
              </w:rPr>
            </w:pPr>
            <w:r>
              <w:rPr>
                <w:rFonts w:hint="eastAsia" w:ascii="Times New Roman" w:hAnsi="Times New Roman"/>
                <w:color w:val="auto"/>
                <w:szCs w:val="21"/>
              </w:rPr>
              <w:t>厂房租赁山西晋冀联合再生资源有限公司，已通过环保验收。采用外购混凝土经罐车拉至厂内，混凝土搅拌生产线不再建设，焊接区及喷漆房移至2#厂房内，成品堆放区位于1#与2</w:t>
            </w:r>
            <w:r>
              <w:rPr>
                <w:rFonts w:hint="eastAsia" w:ascii="Times New Roman" w:hAnsi="Times New Roman" w:eastAsia="宋体" w:cs="Times New Roman"/>
                <w:color w:val="auto"/>
                <w:szCs w:val="21"/>
              </w:rPr>
              <w:t>#厂房之间</w:t>
            </w:r>
            <w:r>
              <w:rPr>
                <w:rFonts w:hint="eastAsia" w:ascii="Times New Roman" w:hAnsi="Times New Roman" w:eastAsia="宋体" w:cs="Times New Roman"/>
                <w:color w:val="auto"/>
                <w:szCs w:val="21"/>
                <w:lang w:eastAsia="zh-CN"/>
              </w:rPr>
              <w:t>，</w:t>
            </w:r>
            <w:r>
              <w:rPr>
                <w:rFonts w:hint="eastAsia" w:ascii="Times New Roman" w:hAnsi="Times New Roman" w:eastAsia="宋体" w:cs="Times New Roman"/>
                <w:color w:val="auto"/>
                <w:szCs w:val="21"/>
                <w:highlight w:val="none"/>
                <w:lang w:val="en-US" w:eastAsia="zh-CN"/>
              </w:rPr>
              <w:t>焊接区于2022年8月已验收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69" w:hRule="atLeast"/>
          <w:jc w:val="center"/>
        </w:trPr>
        <w:tc>
          <w:tcPr>
            <w:tcW w:w="734" w:type="dxa"/>
            <w:vMerge w:val="continue"/>
            <w:vAlign w:val="center"/>
          </w:tcPr>
          <w:p>
            <w:pPr>
              <w:jc w:val="center"/>
              <w:rPr>
                <w:rFonts w:ascii="Times New Roman" w:hAnsi="Times New Roman"/>
                <w:color w:val="auto"/>
                <w:szCs w:val="21"/>
              </w:rPr>
            </w:pPr>
          </w:p>
        </w:tc>
        <w:tc>
          <w:tcPr>
            <w:tcW w:w="1122" w:type="dxa"/>
            <w:vAlign w:val="center"/>
          </w:tcPr>
          <w:p>
            <w:pPr>
              <w:jc w:val="center"/>
              <w:rPr>
                <w:rFonts w:ascii="Times New Roman" w:hAnsi="Times New Roman"/>
                <w:color w:val="auto"/>
                <w:szCs w:val="21"/>
              </w:rPr>
            </w:pPr>
            <w:r>
              <w:rPr>
                <w:rFonts w:hint="eastAsia"/>
                <w:color w:val="auto"/>
                <w:szCs w:val="21"/>
              </w:rPr>
              <w:t>2#厂房</w:t>
            </w:r>
          </w:p>
        </w:tc>
        <w:tc>
          <w:tcPr>
            <w:tcW w:w="4225" w:type="dxa"/>
            <w:vAlign w:val="center"/>
          </w:tcPr>
          <w:p>
            <w:pPr>
              <w:jc w:val="center"/>
              <w:rPr>
                <w:rFonts w:ascii="Times New Roman" w:hAnsi="Times New Roman"/>
                <w:color w:val="auto"/>
                <w:szCs w:val="21"/>
              </w:rPr>
            </w:pPr>
            <w:r>
              <w:rPr>
                <w:rFonts w:ascii="Times New Roman" w:hAnsi="Times New Roman"/>
                <w:color w:val="auto"/>
                <w:szCs w:val="21"/>
              </w:rPr>
              <w:t>钢结构</w:t>
            </w:r>
            <w:r>
              <w:rPr>
                <w:rFonts w:hint="eastAsia"/>
                <w:color w:val="auto"/>
                <w:szCs w:val="21"/>
              </w:rPr>
              <w:t>厂房，设置原材料库、切割、剪断、下料，焊接以及机加装配等生产区间；</w:t>
            </w:r>
            <w:r>
              <w:rPr>
                <w:rFonts w:ascii="Times New Roman" w:hAnsi="Times New Roman"/>
                <w:color w:val="auto"/>
                <w:szCs w:val="21"/>
              </w:rPr>
              <w:t>地面硬化，</w:t>
            </w:r>
            <w:r>
              <w:rPr>
                <w:rFonts w:hint="eastAsia"/>
                <w:color w:val="auto"/>
                <w:szCs w:val="21"/>
              </w:rPr>
              <w:t>1</w:t>
            </w:r>
            <w:r>
              <w:rPr>
                <w:rFonts w:ascii="Times New Roman" w:hAnsi="Times New Roman"/>
                <w:color w:val="auto"/>
                <w:szCs w:val="21"/>
              </w:rPr>
              <w:t>层</w:t>
            </w:r>
            <w:r>
              <w:rPr>
                <w:rFonts w:hint="eastAsia" w:ascii="Times New Roman" w:hAnsi="Times New Roman"/>
                <w:color w:val="auto"/>
                <w:szCs w:val="21"/>
              </w:rPr>
              <w:t>，</w:t>
            </w:r>
            <w:r>
              <w:rPr>
                <w:rFonts w:hint="eastAsia"/>
                <w:color w:val="auto"/>
                <w:szCs w:val="21"/>
              </w:rPr>
              <w:t>建筑面积3684.70m</w:t>
            </w:r>
            <w:r>
              <w:rPr>
                <w:rFonts w:hint="eastAsia"/>
                <w:color w:val="auto"/>
                <w:szCs w:val="21"/>
                <w:vertAlign w:val="superscript"/>
              </w:rPr>
              <w:t>2</w:t>
            </w:r>
          </w:p>
        </w:tc>
        <w:tc>
          <w:tcPr>
            <w:tcW w:w="2816" w:type="dxa"/>
            <w:vAlign w:val="center"/>
          </w:tcPr>
          <w:p>
            <w:pPr>
              <w:jc w:val="center"/>
              <w:rPr>
                <w:rFonts w:ascii="Times New Roman" w:hAnsi="Times New Roman"/>
                <w:color w:val="auto"/>
                <w:szCs w:val="21"/>
              </w:rPr>
            </w:pPr>
            <w:r>
              <w:rPr>
                <w:rFonts w:hint="eastAsia"/>
                <w:color w:val="auto"/>
                <w:szCs w:val="21"/>
              </w:rPr>
              <w:t>已验收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4" w:hRule="atLeast"/>
          <w:jc w:val="center"/>
        </w:trPr>
        <w:tc>
          <w:tcPr>
            <w:tcW w:w="734" w:type="dxa"/>
            <w:vMerge w:val="continue"/>
            <w:vAlign w:val="center"/>
          </w:tcPr>
          <w:p>
            <w:pPr>
              <w:jc w:val="center"/>
              <w:rPr>
                <w:rFonts w:ascii="Times New Roman" w:hAnsi="Times New Roman"/>
                <w:color w:val="auto"/>
                <w:szCs w:val="21"/>
              </w:rPr>
            </w:pPr>
          </w:p>
        </w:tc>
        <w:tc>
          <w:tcPr>
            <w:tcW w:w="1122" w:type="dxa"/>
            <w:vAlign w:val="center"/>
          </w:tcPr>
          <w:p>
            <w:pPr>
              <w:jc w:val="center"/>
              <w:rPr>
                <w:color w:val="auto"/>
                <w:szCs w:val="21"/>
              </w:rPr>
            </w:pPr>
            <w:r>
              <w:rPr>
                <w:rFonts w:hint="eastAsia"/>
                <w:color w:val="auto"/>
                <w:szCs w:val="21"/>
              </w:rPr>
              <w:t>3#厂房</w:t>
            </w:r>
          </w:p>
        </w:tc>
        <w:tc>
          <w:tcPr>
            <w:tcW w:w="4225" w:type="dxa"/>
            <w:vAlign w:val="center"/>
          </w:tcPr>
          <w:p>
            <w:pPr>
              <w:jc w:val="center"/>
              <w:rPr>
                <w:rFonts w:ascii="Times New Roman" w:hAnsi="Times New Roman"/>
                <w:color w:val="auto"/>
                <w:szCs w:val="21"/>
              </w:rPr>
            </w:pPr>
            <w:r>
              <w:rPr>
                <w:rFonts w:hint="eastAsia"/>
                <w:color w:val="auto"/>
                <w:szCs w:val="21"/>
              </w:rPr>
              <w:t>7</w:t>
            </w:r>
            <w:r>
              <w:rPr>
                <w:rFonts w:ascii="Times New Roman" w:hAnsi="Times New Roman"/>
                <w:color w:val="auto"/>
                <w:szCs w:val="21"/>
              </w:rPr>
              <w:t>层</w:t>
            </w:r>
            <w:r>
              <w:rPr>
                <w:rFonts w:hint="eastAsia" w:ascii="Times New Roman" w:hAnsi="Times New Roman"/>
                <w:color w:val="auto"/>
                <w:szCs w:val="21"/>
              </w:rPr>
              <w:t>，</w:t>
            </w:r>
            <w:r>
              <w:rPr>
                <w:rFonts w:hint="eastAsia"/>
                <w:color w:val="auto"/>
                <w:szCs w:val="21"/>
              </w:rPr>
              <w:t>建筑面积18345.79m</w:t>
            </w:r>
            <w:r>
              <w:rPr>
                <w:rFonts w:hint="eastAsia"/>
                <w:color w:val="auto"/>
                <w:szCs w:val="21"/>
                <w:vertAlign w:val="superscript"/>
              </w:rPr>
              <w:t>2</w:t>
            </w:r>
            <w:r>
              <w:rPr>
                <w:rFonts w:hint="eastAsia"/>
                <w:color w:val="auto"/>
                <w:szCs w:val="21"/>
              </w:rPr>
              <w:t>，闲置</w:t>
            </w:r>
          </w:p>
        </w:tc>
        <w:tc>
          <w:tcPr>
            <w:tcW w:w="2816" w:type="dxa"/>
            <w:vAlign w:val="center"/>
          </w:tcPr>
          <w:p>
            <w:pPr>
              <w:jc w:val="center"/>
              <w:rPr>
                <w:color w:val="auto"/>
                <w:szCs w:val="21"/>
              </w:rPr>
            </w:pPr>
            <w:r>
              <w:rPr>
                <w:color w:val="auto"/>
                <w:szCs w:val="21"/>
              </w:rPr>
              <w:t>与环评一致</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34" w:type="dxa"/>
            <w:vMerge w:val="continue"/>
            <w:vAlign w:val="center"/>
          </w:tcPr>
          <w:p>
            <w:pPr>
              <w:jc w:val="center"/>
              <w:rPr>
                <w:rFonts w:ascii="Times New Roman" w:hAnsi="Times New Roman"/>
                <w:color w:val="auto"/>
                <w:szCs w:val="21"/>
              </w:rPr>
            </w:pPr>
          </w:p>
        </w:tc>
        <w:tc>
          <w:tcPr>
            <w:tcW w:w="1122" w:type="dxa"/>
            <w:vAlign w:val="center"/>
          </w:tcPr>
          <w:p>
            <w:pPr>
              <w:jc w:val="center"/>
              <w:rPr>
                <w:color w:val="auto"/>
                <w:szCs w:val="21"/>
              </w:rPr>
            </w:pPr>
            <w:r>
              <w:rPr>
                <w:rFonts w:hint="eastAsia"/>
                <w:color w:val="auto"/>
                <w:szCs w:val="21"/>
              </w:rPr>
              <w:t>4#厂房</w:t>
            </w:r>
          </w:p>
        </w:tc>
        <w:tc>
          <w:tcPr>
            <w:tcW w:w="4225" w:type="dxa"/>
            <w:vAlign w:val="center"/>
          </w:tcPr>
          <w:p>
            <w:pPr>
              <w:jc w:val="center"/>
              <w:rPr>
                <w:rFonts w:ascii="Times New Roman" w:hAnsi="Times New Roman"/>
                <w:color w:val="auto"/>
                <w:szCs w:val="21"/>
              </w:rPr>
            </w:pPr>
            <w:r>
              <w:rPr>
                <w:rFonts w:hint="eastAsia"/>
                <w:color w:val="auto"/>
                <w:szCs w:val="21"/>
              </w:rPr>
              <w:t>分为4个小型标准厂房，均为4层，建筑面积5284.28m</w:t>
            </w:r>
            <w:r>
              <w:rPr>
                <w:rFonts w:hint="eastAsia"/>
                <w:color w:val="auto"/>
                <w:szCs w:val="21"/>
                <w:vertAlign w:val="superscript"/>
              </w:rPr>
              <w:t>2</w:t>
            </w:r>
            <w:r>
              <w:rPr>
                <w:rFonts w:hint="eastAsia"/>
                <w:color w:val="auto"/>
                <w:szCs w:val="21"/>
              </w:rPr>
              <w:t>，闲置</w:t>
            </w:r>
          </w:p>
        </w:tc>
        <w:tc>
          <w:tcPr>
            <w:tcW w:w="2816" w:type="dxa"/>
            <w:vAlign w:val="center"/>
          </w:tcPr>
          <w:p>
            <w:pPr>
              <w:jc w:val="center"/>
              <w:rPr>
                <w:color w:val="auto"/>
                <w:szCs w:val="21"/>
              </w:rPr>
            </w:pPr>
            <w:r>
              <w:rPr>
                <w:color w:val="auto"/>
                <w:szCs w:val="21"/>
              </w:rPr>
              <w:t>与环评一致</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55" w:hRule="atLeast"/>
          <w:jc w:val="center"/>
        </w:trPr>
        <w:tc>
          <w:tcPr>
            <w:tcW w:w="734" w:type="dxa"/>
            <w:vMerge w:val="restart"/>
            <w:vAlign w:val="center"/>
          </w:tcPr>
          <w:p>
            <w:pPr>
              <w:jc w:val="center"/>
              <w:rPr>
                <w:rFonts w:ascii="Times New Roman" w:hAnsi="Times New Roman"/>
                <w:color w:val="auto"/>
                <w:szCs w:val="21"/>
              </w:rPr>
            </w:pPr>
            <w:r>
              <w:rPr>
                <w:rFonts w:ascii="Times New Roman" w:hAnsi="Times New Roman"/>
                <w:color w:val="auto"/>
                <w:szCs w:val="21"/>
              </w:rPr>
              <w:t>辅助工程</w:t>
            </w:r>
          </w:p>
        </w:tc>
        <w:tc>
          <w:tcPr>
            <w:tcW w:w="1122" w:type="dxa"/>
            <w:vAlign w:val="center"/>
          </w:tcPr>
          <w:p>
            <w:pPr>
              <w:jc w:val="center"/>
              <w:rPr>
                <w:rFonts w:ascii="Times New Roman" w:hAnsi="Times New Roman"/>
                <w:color w:val="auto"/>
                <w:szCs w:val="21"/>
              </w:rPr>
            </w:pPr>
            <w:r>
              <w:rPr>
                <w:rFonts w:hint="eastAsia"/>
                <w:color w:val="auto"/>
                <w:szCs w:val="21"/>
              </w:rPr>
              <w:t>科研楼</w:t>
            </w:r>
          </w:p>
        </w:tc>
        <w:tc>
          <w:tcPr>
            <w:tcW w:w="4225" w:type="dxa"/>
            <w:vAlign w:val="center"/>
          </w:tcPr>
          <w:p>
            <w:pPr>
              <w:jc w:val="center"/>
              <w:rPr>
                <w:rFonts w:ascii="Times New Roman" w:hAnsi="Times New Roman"/>
                <w:color w:val="auto"/>
                <w:szCs w:val="21"/>
              </w:rPr>
            </w:pPr>
            <w:r>
              <w:rPr>
                <w:rFonts w:hint="eastAsia"/>
                <w:color w:val="auto"/>
                <w:szCs w:val="21"/>
              </w:rPr>
              <w:t>用于办公，7层，建筑面积8535.09m</w:t>
            </w:r>
            <w:r>
              <w:rPr>
                <w:rFonts w:hint="eastAsia"/>
                <w:color w:val="auto"/>
                <w:szCs w:val="21"/>
                <w:vertAlign w:val="superscript"/>
              </w:rPr>
              <w:t>2</w:t>
            </w:r>
          </w:p>
        </w:tc>
        <w:tc>
          <w:tcPr>
            <w:tcW w:w="2816" w:type="dxa"/>
            <w:vAlign w:val="center"/>
          </w:tcPr>
          <w:p>
            <w:pPr>
              <w:jc w:val="center"/>
              <w:rPr>
                <w:color w:val="auto"/>
                <w:szCs w:val="21"/>
              </w:rPr>
            </w:pPr>
            <w:r>
              <w:rPr>
                <w:color w:val="auto"/>
                <w:szCs w:val="21"/>
              </w:rPr>
              <w:t>与环评一致</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734" w:type="dxa"/>
            <w:vMerge w:val="continue"/>
            <w:vAlign w:val="center"/>
          </w:tcPr>
          <w:p>
            <w:pPr>
              <w:jc w:val="center"/>
              <w:rPr>
                <w:rFonts w:ascii="Times New Roman" w:hAnsi="Times New Roman"/>
                <w:color w:val="auto"/>
                <w:szCs w:val="21"/>
              </w:rPr>
            </w:pPr>
          </w:p>
        </w:tc>
        <w:tc>
          <w:tcPr>
            <w:tcW w:w="1122" w:type="dxa"/>
            <w:vAlign w:val="center"/>
          </w:tcPr>
          <w:p>
            <w:pPr>
              <w:jc w:val="center"/>
              <w:rPr>
                <w:rFonts w:ascii="Times New Roman" w:hAnsi="Times New Roman"/>
                <w:color w:val="auto"/>
                <w:szCs w:val="21"/>
              </w:rPr>
            </w:pPr>
            <w:r>
              <w:rPr>
                <w:rFonts w:hint="eastAsia"/>
                <w:color w:val="auto"/>
                <w:szCs w:val="21"/>
              </w:rPr>
              <w:t>食堂</w:t>
            </w:r>
          </w:p>
        </w:tc>
        <w:tc>
          <w:tcPr>
            <w:tcW w:w="4225" w:type="dxa"/>
            <w:vAlign w:val="center"/>
          </w:tcPr>
          <w:p>
            <w:pPr>
              <w:jc w:val="center"/>
              <w:rPr>
                <w:rFonts w:ascii="Times New Roman" w:hAnsi="Times New Roman"/>
                <w:color w:val="auto"/>
                <w:szCs w:val="21"/>
              </w:rPr>
            </w:pPr>
            <w:r>
              <w:rPr>
                <w:rFonts w:hint="eastAsia"/>
                <w:color w:val="auto"/>
                <w:szCs w:val="21"/>
              </w:rPr>
              <w:t>2层，建筑面积1346.10m</w:t>
            </w:r>
            <w:r>
              <w:rPr>
                <w:rFonts w:hint="eastAsia"/>
                <w:color w:val="auto"/>
                <w:szCs w:val="21"/>
                <w:vertAlign w:val="superscript"/>
              </w:rPr>
              <w:t>2</w:t>
            </w:r>
          </w:p>
        </w:tc>
        <w:tc>
          <w:tcPr>
            <w:tcW w:w="2816" w:type="dxa"/>
            <w:vAlign w:val="center"/>
          </w:tcPr>
          <w:p>
            <w:pPr>
              <w:jc w:val="center"/>
              <w:rPr>
                <w:color w:val="auto"/>
                <w:szCs w:val="21"/>
              </w:rPr>
            </w:pPr>
            <w:r>
              <w:rPr>
                <w:rFonts w:hint="eastAsia"/>
                <w:color w:val="auto"/>
                <w:szCs w:val="21"/>
              </w:rPr>
              <w:t>主体设施已建成，变更为多功能会议室</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734" w:type="dxa"/>
            <w:vMerge w:val="continue"/>
            <w:vAlign w:val="center"/>
          </w:tcPr>
          <w:p>
            <w:pPr>
              <w:jc w:val="center"/>
              <w:rPr>
                <w:rFonts w:ascii="Times New Roman" w:hAnsi="Times New Roman"/>
                <w:color w:val="auto"/>
                <w:szCs w:val="21"/>
              </w:rPr>
            </w:pPr>
          </w:p>
        </w:tc>
        <w:tc>
          <w:tcPr>
            <w:tcW w:w="1122" w:type="dxa"/>
            <w:vAlign w:val="center"/>
          </w:tcPr>
          <w:p>
            <w:pPr>
              <w:jc w:val="center"/>
              <w:rPr>
                <w:rFonts w:ascii="Times New Roman" w:hAnsi="Times New Roman"/>
                <w:color w:val="auto"/>
                <w:szCs w:val="21"/>
              </w:rPr>
            </w:pPr>
            <w:r>
              <w:rPr>
                <w:rFonts w:hint="eastAsia"/>
                <w:color w:val="auto"/>
                <w:szCs w:val="21"/>
              </w:rPr>
              <w:t>宿舍</w:t>
            </w:r>
          </w:p>
        </w:tc>
        <w:tc>
          <w:tcPr>
            <w:tcW w:w="4225" w:type="dxa"/>
            <w:vAlign w:val="center"/>
          </w:tcPr>
          <w:p>
            <w:pPr>
              <w:jc w:val="center"/>
              <w:rPr>
                <w:rFonts w:ascii="Times New Roman" w:hAnsi="Times New Roman"/>
                <w:color w:val="auto"/>
                <w:szCs w:val="21"/>
              </w:rPr>
            </w:pPr>
            <w:r>
              <w:rPr>
                <w:rFonts w:hint="eastAsia"/>
                <w:color w:val="auto"/>
                <w:szCs w:val="21"/>
              </w:rPr>
              <w:t>12层，建筑面积10331.27m</w:t>
            </w:r>
            <w:r>
              <w:rPr>
                <w:rFonts w:hint="eastAsia"/>
                <w:color w:val="auto"/>
                <w:szCs w:val="21"/>
                <w:vertAlign w:val="superscript"/>
              </w:rPr>
              <w:t>2</w:t>
            </w:r>
          </w:p>
        </w:tc>
        <w:tc>
          <w:tcPr>
            <w:tcW w:w="2816" w:type="dxa"/>
            <w:vAlign w:val="center"/>
          </w:tcPr>
          <w:p>
            <w:pPr>
              <w:jc w:val="center"/>
              <w:rPr>
                <w:color w:val="auto"/>
                <w:szCs w:val="21"/>
              </w:rPr>
            </w:pPr>
            <w:r>
              <w:rPr>
                <w:color w:val="auto"/>
                <w:szCs w:val="21"/>
              </w:rPr>
              <w:t>与环评一致</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94" w:hRule="atLeast"/>
          <w:jc w:val="center"/>
        </w:trPr>
        <w:tc>
          <w:tcPr>
            <w:tcW w:w="734" w:type="dxa"/>
            <w:vMerge w:val="restart"/>
            <w:vAlign w:val="center"/>
          </w:tcPr>
          <w:p>
            <w:pPr>
              <w:jc w:val="center"/>
              <w:rPr>
                <w:rFonts w:ascii="Times New Roman" w:hAnsi="Times New Roman"/>
                <w:color w:val="auto"/>
                <w:szCs w:val="21"/>
                <w:highlight w:val="yellow"/>
              </w:rPr>
            </w:pPr>
            <w:r>
              <w:rPr>
                <w:rFonts w:ascii="Times New Roman" w:hAnsi="Times New Roman"/>
                <w:color w:val="auto"/>
                <w:szCs w:val="21"/>
              </w:rPr>
              <w:t>公用工程</w:t>
            </w:r>
          </w:p>
        </w:tc>
        <w:tc>
          <w:tcPr>
            <w:tcW w:w="1122" w:type="dxa"/>
            <w:vAlign w:val="center"/>
          </w:tcPr>
          <w:p>
            <w:pPr>
              <w:jc w:val="center"/>
              <w:rPr>
                <w:rFonts w:ascii="Times New Roman" w:hAnsi="Times New Roman"/>
                <w:color w:val="auto"/>
                <w:szCs w:val="21"/>
              </w:rPr>
            </w:pPr>
            <w:r>
              <w:rPr>
                <w:rFonts w:ascii="Times New Roman" w:hAnsi="Times New Roman"/>
                <w:color w:val="auto"/>
                <w:szCs w:val="21"/>
              </w:rPr>
              <w:t>供电</w:t>
            </w:r>
          </w:p>
        </w:tc>
        <w:tc>
          <w:tcPr>
            <w:tcW w:w="4225" w:type="dxa"/>
            <w:vAlign w:val="center"/>
          </w:tcPr>
          <w:p>
            <w:pPr>
              <w:jc w:val="center"/>
              <w:rPr>
                <w:rFonts w:ascii="Times New Roman" w:hAnsi="Times New Roman"/>
                <w:color w:val="auto"/>
                <w:szCs w:val="21"/>
              </w:rPr>
            </w:pPr>
            <w:r>
              <w:rPr>
                <w:rFonts w:ascii="Times New Roman" w:hAnsi="Times New Roman"/>
                <w:color w:val="auto"/>
                <w:szCs w:val="21"/>
              </w:rPr>
              <w:t>项目用电由长治市供电公司提供，可满足项目用电需求，</w:t>
            </w:r>
            <w:r>
              <w:rPr>
                <w:rFonts w:hint="eastAsia"/>
                <w:color w:val="auto"/>
                <w:szCs w:val="21"/>
              </w:rPr>
              <w:t>厂区设4台变压器，</w:t>
            </w:r>
            <w:r>
              <w:rPr>
                <w:rFonts w:ascii="Times New Roman" w:hAnsi="Times New Roman"/>
                <w:color w:val="auto"/>
                <w:szCs w:val="21"/>
              </w:rPr>
              <w:t>年用电量</w:t>
            </w:r>
            <w:r>
              <w:rPr>
                <w:rFonts w:hint="eastAsia"/>
                <w:color w:val="auto"/>
                <w:szCs w:val="21"/>
              </w:rPr>
              <w:t>580</w:t>
            </w:r>
            <w:r>
              <w:rPr>
                <w:rFonts w:ascii="Times New Roman" w:hAnsi="Times New Roman"/>
                <w:color w:val="auto"/>
                <w:szCs w:val="21"/>
              </w:rPr>
              <w:t>万KWh</w:t>
            </w:r>
          </w:p>
        </w:tc>
        <w:tc>
          <w:tcPr>
            <w:tcW w:w="2816" w:type="dxa"/>
            <w:vAlign w:val="center"/>
          </w:tcPr>
          <w:p>
            <w:pPr>
              <w:jc w:val="center"/>
              <w:rPr>
                <w:rFonts w:ascii="Times New Roman" w:hAnsi="Times New Roman"/>
                <w:color w:val="auto"/>
                <w:szCs w:val="21"/>
              </w:rPr>
            </w:pPr>
            <w:r>
              <w:rPr>
                <w:rFonts w:hint="eastAsia"/>
                <w:color w:val="auto"/>
                <w:szCs w:val="21"/>
              </w:rPr>
              <w:t>已验收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55" w:hRule="atLeast"/>
          <w:jc w:val="center"/>
        </w:trPr>
        <w:tc>
          <w:tcPr>
            <w:tcW w:w="734" w:type="dxa"/>
            <w:vMerge w:val="continue"/>
            <w:vAlign w:val="center"/>
          </w:tcPr>
          <w:p>
            <w:pPr>
              <w:jc w:val="center"/>
              <w:rPr>
                <w:rFonts w:ascii="Times New Roman" w:hAnsi="Times New Roman"/>
                <w:color w:val="auto"/>
                <w:szCs w:val="21"/>
                <w:highlight w:val="yellow"/>
              </w:rPr>
            </w:pPr>
          </w:p>
        </w:tc>
        <w:tc>
          <w:tcPr>
            <w:tcW w:w="1122" w:type="dxa"/>
            <w:vAlign w:val="center"/>
          </w:tcPr>
          <w:p>
            <w:pPr>
              <w:jc w:val="center"/>
              <w:rPr>
                <w:rFonts w:ascii="Times New Roman" w:hAnsi="Times New Roman"/>
                <w:color w:val="auto"/>
                <w:szCs w:val="21"/>
              </w:rPr>
            </w:pPr>
            <w:r>
              <w:rPr>
                <w:rFonts w:ascii="Times New Roman" w:hAnsi="Times New Roman"/>
                <w:color w:val="auto"/>
                <w:szCs w:val="21"/>
              </w:rPr>
              <w:t>供水</w:t>
            </w:r>
          </w:p>
        </w:tc>
        <w:tc>
          <w:tcPr>
            <w:tcW w:w="4225" w:type="dxa"/>
            <w:vAlign w:val="center"/>
          </w:tcPr>
          <w:p>
            <w:pPr>
              <w:jc w:val="center"/>
              <w:rPr>
                <w:rFonts w:ascii="Times New Roman" w:hAnsi="Times New Roman"/>
                <w:color w:val="auto"/>
                <w:szCs w:val="21"/>
              </w:rPr>
            </w:pPr>
            <w:r>
              <w:rPr>
                <w:rFonts w:ascii="Times New Roman" w:hAnsi="Times New Roman"/>
                <w:color w:val="auto"/>
                <w:szCs w:val="21"/>
              </w:rPr>
              <w:t>项目用水来自市政供水管网</w:t>
            </w:r>
          </w:p>
        </w:tc>
        <w:tc>
          <w:tcPr>
            <w:tcW w:w="2816" w:type="dxa"/>
            <w:vAlign w:val="center"/>
          </w:tcPr>
          <w:p>
            <w:pPr>
              <w:jc w:val="center"/>
              <w:rPr>
                <w:rFonts w:ascii="Times New Roman" w:hAnsi="Times New Roman"/>
                <w:color w:val="auto"/>
                <w:szCs w:val="21"/>
              </w:rPr>
            </w:pPr>
            <w:r>
              <w:rPr>
                <w:rFonts w:hint="eastAsia"/>
                <w:color w:val="auto"/>
                <w:szCs w:val="21"/>
              </w:rPr>
              <w:t>已验收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94" w:hRule="atLeast"/>
          <w:jc w:val="center"/>
        </w:trPr>
        <w:tc>
          <w:tcPr>
            <w:tcW w:w="734" w:type="dxa"/>
            <w:vMerge w:val="continue"/>
            <w:vAlign w:val="center"/>
          </w:tcPr>
          <w:p>
            <w:pPr>
              <w:jc w:val="center"/>
              <w:rPr>
                <w:rFonts w:ascii="Times New Roman" w:hAnsi="Times New Roman"/>
                <w:color w:val="auto"/>
                <w:szCs w:val="21"/>
                <w:highlight w:val="yellow"/>
              </w:rPr>
            </w:pPr>
          </w:p>
        </w:tc>
        <w:tc>
          <w:tcPr>
            <w:tcW w:w="1122" w:type="dxa"/>
            <w:vAlign w:val="center"/>
          </w:tcPr>
          <w:p>
            <w:pPr>
              <w:jc w:val="center"/>
              <w:rPr>
                <w:rFonts w:ascii="Times New Roman" w:hAnsi="Times New Roman"/>
                <w:color w:val="auto"/>
                <w:szCs w:val="21"/>
              </w:rPr>
            </w:pPr>
            <w:r>
              <w:rPr>
                <w:rFonts w:ascii="Times New Roman" w:hAnsi="Times New Roman"/>
                <w:color w:val="auto"/>
                <w:szCs w:val="21"/>
              </w:rPr>
              <w:t>排水</w:t>
            </w:r>
          </w:p>
        </w:tc>
        <w:tc>
          <w:tcPr>
            <w:tcW w:w="4225" w:type="dxa"/>
            <w:vAlign w:val="center"/>
          </w:tcPr>
          <w:p>
            <w:pPr>
              <w:jc w:val="center"/>
              <w:rPr>
                <w:rFonts w:ascii="Times New Roman" w:hAnsi="Times New Roman"/>
                <w:color w:val="auto"/>
                <w:szCs w:val="21"/>
              </w:rPr>
            </w:pPr>
            <w:r>
              <w:rPr>
                <w:rFonts w:hint="eastAsia"/>
                <w:color w:val="auto"/>
                <w:szCs w:val="21"/>
              </w:rPr>
              <w:t>项目无生产废水排放，</w:t>
            </w:r>
            <w:r>
              <w:rPr>
                <w:rFonts w:ascii="Times New Roman" w:hAnsi="Times New Roman"/>
                <w:color w:val="auto"/>
                <w:szCs w:val="21"/>
              </w:rPr>
              <w:t>生活污水产生量</w:t>
            </w:r>
            <w:r>
              <w:rPr>
                <w:rFonts w:hint="eastAsia"/>
                <w:color w:val="auto"/>
                <w:szCs w:val="21"/>
              </w:rPr>
              <w:t>约</w:t>
            </w:r>
            <w:r>
              <w:rPr>
                <w:rFonts w:ascii="Times New Roman" w:hAnsi="Times New Roman"/>
                <w:color w:val="auto"/>
                <w:szCs w:val="21"/>
              </w:rPr>
              <w:t>为</w:t>
            </w:r>
            <w:r>
              <w:rPr>
                <w:rFonts w:hint="eastAsia"/>
                <w:color w:val="auto"/>
                <w:szCs w:val="21"/>
              </w:rPr>
              <w:t>7.2</w:t>
            </w:r>
            <w:r>
              <w:rPr>
                <w:rFonts w:ascii="Times New Roman" w:hAnsi="Times New Roman"/>
                <w:color w:val="auto"/>
                <w:szCs w:val="21"/>
              </w:rPr>
              <w:t>m</w:t>
            </w:r>
            <w:r>
              <w:rPr>
                <w:rFonts w:ascii="Times New Roman" w:hAnsi="Times New Roman"/>
                <w:color w:val="auto"/>
                <w:szCs w:val="21"/>
                <w:vertAlign w:val="superscript"/>
              </w:rPr>
              <w:t>3</w:t>
            </w:r>
            <w:r>
              <w:rPr>
                <w:rFonts w:ascii="Times New Roman" w:hAnsi="Times New Roman"/>
                <w:color w:val="auto"/>
                <w:szCs w:val="21"/>
              </w:rPr>
              <w:t>/d（</w:t>
            </w:r>
            <w:r>
              <w:rPr>
                <w:rFonts w:hint="eastAsia"/>
                <w:color w:val="auto"/>
                <w:szCs w:val="21"/>
              </w:rPr>
              <w:t>2160</w:t>
            </w:r>
            <w:r>
              <w:rPr>
                <w:rFonts w:ascii="Times New Roman" w:hAnsi="Times New Roman"/>
                <w:color w:val="auto"/>
                <w:szCs w:val="21"/>
              </w:rPr>
              <w:t>m</w:t>
            </w:r>
            <w:r>
              <w:rPr>
                <w:rFonts w:ascii="Times New Roman" w:hAnsi="Times New Roman"/>
                <w:color w:val="auto"/>
                <w:szCs w:val="21"/>
                <w:vertAlign w:val="superscript"/>
              </w:rPr>
              <w:t>3</w:t>
            </w:r>
            <w:r>
              <w:rPr>
                <w:rFonts w:ascii="Times New Roman" w:hAnsi="Times New Roman"/>
                <w:color w:val="auto"/>
                <w:szCs w:val="21"/>
              </w:rPr>
              <w:t>/a），</w:t>
            </w:r>
            <w:r>
              <w:rPr>
                <w:rFonts w:hint="eastAsia"/>
                <w:color w:val="auto"/>
                <w:szCs w:val="21"/>
              </w:rPr>
              <w:t>通过市政污水管网排入长治市污水处理厂</w:t>
            </w:r>
          </w:p>
        </w:tc>
        <w:tc>
          <w:tcPr>
            <w:tcW w:w="2816" w:type="dxa"/>
            <w:vAlign w:val="center"/>
          </w:tcPr>
          <w:p>
            <w:pPr>
              <w:jc w:val="center"/>
              <w:rPr>
                <w:color w:val="auto"/>
                <w:szCs w:val="21"/>
              </w:rPr>
            </w:pPr>
            <w:r>
              <w:rPr>
                <w:rFonts w:hint="eastAsia"/>
                <w:color w:val="auto"/>
                <w:szCs w:val="21"/>
              </w:rPr>
              <w:t>已验收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55" w:hRule="atLeast"/>
          <w:jc w:val="center"/>
        </w:trPr>
        <w:tc>
          <w:tcPr>
            <w:tcW w:w="734" w:type="dxa"/>
            <w:vMerge w:val="continue"/>
            <w:vAlign w:val="center"/>
          </w:tcPr>
          <w:p>
            <w:pPr>
              <w:jc w:val="center"/>
              <w:rPr>
                <w:rFonts w:ascii="Times New Roman" w:hAnsi="Times New Roman"/>
                <w:color w:val="auto"/>
                <w:szCs w:val="21"/>
                <w:highlight w:val="yellow"/>
              </w:rPr>
            </w:pPr>
          </w:p>
        </w:tc>
        <w:tc>
          <w:tcPr>
            <w:tcW w:w="1122" w:type="dxa"/>
            <w:vAlign w:val="center"/>
          </w:tcPr>
          <w:p>
            <w:pPr>
              <w:jc w:val="center"/>
              <w:rPr>
                <w:rFonts w:ascii="Times New Roman" w:hAnsi="Times New Roman"/>
                <w:color w:val="auto"/>
                <w:szCs w:val="21"/>
              </w:rPr>
            </w:pPr>
            <w:r>
              <w:rPr>
                <w:rFonts w:hint="eastAsia"/>
                <w:color w:val="auto"/>
                <w:szCs w:val="21"/>
              </w:rPr>
              <w:t>供热</w:t>
            </w:r>
          </w:p>
        </w:tc>
        <w:tc>
          <w:tcPr>
            <w:tcW w:w="4225" w:type="dxa"/>
            <w:vAlign w:val="center"/>
          </w:tcPr>
          <w:p>
            <w:pPr>
              <w:jc w:val="center"/>
              <w:rPr>
                <w:rFonts w:ascii="Times New Roman" w:hAnsi="Times New Roman"/>
                <w:color w:val="auto"/>
                <w:szCs w:val="21"/>
              </w:rPr>
            </w:pPr>
            <w:r>
              <w:rPr>
                <w:rFonts w:ascii="Times New Roman" w:hAnsi="Times New Roman"/>
                <w:color w:val="auto"/>
                <w:szCs w:val="21"/>
              </w:rPr>
              <w:t>本项目</w:t>
            </w:r>
            <w:r>
              <w:rPr>
                <w:rFonts w:hint="eastAsia"/>
                <w:color w:val="auto"/>
                <w:szCs w:val="21"/>
              </w:rPr>
              <w:t>生产不用热，</w:t>
            </w:r>
            <w:r>
              <w:rPr>
                <w:rFonts w:ascii="Times New Roman" w:hAnsi="Times New Roman"/>
                <w:color w:val="auto"/>
                <w:szCs w:val="21"/>
              </w:rPr>
              <w:t>冬季</w:t>
            </w:r>
            <w:r>
              <w:rPr>
                <w:rFonts w:hint="eastAsia"/>
                <w:color w:val="auto"/>
                <w:szCs w:val="21"/>
              </w:rPr>
              <w:t>集中供暖</w:t>
            </w:r>
          </w:p>
        </w:tc>
        <w:tc>
          <w:tcPr>
            <w:tcW w:w="2816" w:type="dxa"/>
            <w:vAlign w:val="center"/>
          </w:tcPr>
          <w:p>
            <w:pPr>
              <w:jc w:val="center"/>
              <w:rPr>
                <w:rFonts w:ascii="Times New Roman" w:hAnsi="Times New Roman"/>
                <w:color w:val="auto"/>
                <w:szCs w:val="21"/>
              </w:rPr>
            </w:pPr>
            <w:r>
              <w:rPr>
                <w:rFonts w:hint="eastAsia"/>
                <w:color w:val="auto"/>
                <w:szCs w:val="21"/>
              </w:rPr>
              <w:t>已验收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55" w:hRule="atLeast"/>
          <w:jc w:val="center"/>
        </w:trPr>
        <w:tc>
          <w:tcPr>
            <w:tcW w:w="734" w:type="dxa"/>
            <w:vMerge w:val="continue"/>
            <w:vAlign w:val="center"/>
          </w:tcPr>
          <w:p>
            <w:pPr>
              <w:jc w:val="center"/>
              <w:rPr>
                <w:rFonts w:ascii="Times New Roman" w:hAnsi="Times New Roman"/>
                <w:color w:val="auto"/>
                <w:szCs w:val="21"/>
                <w:highlight w:val="yellow"/>
              </w:rPr>
            </w:pPr>
          </w:p>
        </w:tc>
        <w:tc>
          <w:tcPr>
            <w:tcW w:w="1122" w:type="dxa"/>
            <w:vAlign w:val="center"/>
          </w:tcPr>
          <w:p>
            <w:pPr>
              <w:jc w:val="center"/>
              <w:rPr>
                <w:rFonts w:ascii="Times New Roman" w:hAnsi="Times New Roman"/>
                <w:color w:val="auto"/>
                <w:szCs w:val="21"/>
              </w:rPr>
            </w:pPr>
            <w:r>
              <w:rPr>
                <w:rFonts w:ascii="Times New Roman" w:hAnsi="Times New Roman"/>
                <w:color w:val="auto"/>
                <w:szCs w:val="21"/>
              </w:rPr>
              <w:t>道路硬化</w:t>
            </w:r>
          </w:p>
        </w:tc>
        <w:tc>
          <w:tcPr>
            <w:tcW w:w="4225" w:type="dxa"/>
            <w:vAlign w:val="center"/>
          </w:tcPr>
          <w:p>
            <w:pPr>
              <w:jc w:val="center"/>
              <w:rPr>
                <w:rFonts w:ascii="Times New Roman" w:hAnsi="Times New Roman"/>
                <w:color w:val="auto"/>
                <w:szCs w:val="21"/>
              </w:rPr>
            </w:pPr>
            <w:r>
              <w:rPr>
                <w:rFonts w:hint="eastAsia"/>
                <w:color w:val="auto"/>
                <w:szCs w:val="21"/>
              </w:rPr>
              <w:t>厂区</w:t>
            </w:r>
            <w:r>
              <w:rPr>
                <w:rFonts w:ascii="Times New Roman" w:hAnsi="Times New Roman"/>
                <w:color w:val="auto"/>
                <w:szCs w:val="21"/>
              </w:rPr>
              <w:t>道路硬化</w:t>
            </w:r>
            <w:r>
              <w:rPr>
                <w:rFonts w:hint="eastAsia"/>
                <w:color w:val="auto"/>
                <w:szCs w:val="21"/>
              </w:rPr>
              <w:t>，硬化面积1000m</w:t>
            </w:r>
            <w:r>
              <w:rPr>
                <w:rFonts w:hint="eastAsia"/>
                <w:color w:val="auto"/>
                <w:szCs w:val="21"/>
                <w:vertAlign w:val="superscript"/>
              </w:rPr>
              <w:t>2</w:t>
            </w:r>
          </w:p>
        </w:tc>
        <w:tc>
          <w:tcPr>
            <w:tcW w:w="2816" w:type="dxa"/>
            <w:vAlign w:val="center"/>
          </w:tcPr>
          <w:p>
            <w:pPr>
              <w:jc w:val="center"/>
              <w:rPr>
                <w:color w:val="auto"/>
                <w:szCs w:val="21"/>
              </w:rPr>
            </w:pPr>
            <w:r>
              <w:rPr>
                <w:rFonts w:hint="eastAsia"/>
                <w:color w:val="auto"/>
                <w:szCs w:val="21"/>
              </w:rPr>
              <w:t>已验收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55" w:hRule="atLeast"/>
          <w:jc w:val="center"/>
        </w:trPr>
        <w:tc>
          <w:tcPr>
            <w:tcW w:w="734" w:type="dxa"/>
            <w:vMerge w:val="restart"/>
            <w:vAlign w:val="center"/>
          </w:tcPr>
          <w:p>
            <w:pPr>
              <w:jc w:val="center"/>
              <w:rPr>
                <w:rFonts w:ascii="Times New Roman" w:hAnsi="Times New Roman"/>
                <w:color w:val="auto"/>
                <w:szCs w:val="21"/>
              </w:rPr>
            </w:pPr>
            <w:r>
              <w:rPr>
                <w:rFonts w:ascii="Times New Roman" w:hAnsi="Times New Roman"/>
                <w:color w:val="auto"/>
                <w:szCs w:val="21"/>
              </w:rPr>
              <w:t>环保工程</w:t>
            </w:r>
          </w:p>
        </w:tc>
        <w:tc>
          <w:tcPr>
            <w:tcW w:w="1122" w:type="dxa"/>
            <w:vAlign w:val="center"/>
          </w:tcPr>
          <w:p>
            <w:pPr>
              <w:jc w:val="center"/>
              <w:rPr>
                <w:rFonts w:ascii="Times New Roman" w:hAnsi="Times New Roman"/>
                <w:color w:val="auto"/>
                <w:szCs w:val="21"/>
              </w:rPr>
            </w:pPr>
            <w:r>
              <w:rPr>
                <w:rFonts w:ascii="Times New Roman" w:hAnsi="Times New Roman"/>
                <w:color w:val="auto"/>
                <w:szCs w:val="21"/>
              </w:rPr>
              <w:t>物料输送</w:t>
            </w:r>
          </w:p>
        </w:tc>
        <w:tc>
          <w:tcPr>
            <w:tcW w:w="4225" w:type="dxa"/>
            <w:vAlign w:val="center"/>
          </w:tcPr>
          <w:p>
            <w:pPr>
              <w:jc w:val="center"/>
              <w:rPr>
                <w:rFonts w:ascii="Times New Roman" w:hAnsi="Times New Roman"/>
                <w:color w:val="auto"/>
                <w:szCs w:val="21"/>
              </w:rPr>
            </w:pPr>
            <w:r>
              <w:rPr>
                <w:rFonts w:hint="eastAsia" w:ascii="Times New Roman" w:hAnsi="Times New Roman"/>
                <w:color w:val="auto"/>
                <w:szCs w:val="21"/>
              </w:rPr>
              <w:t>原材料和配件</w:t>
            </w:r>
            <w:r>
              <w:rPr>
                <w:rFonts w:hint="eastAsia"/>
                <w:color w:val="auto"/>
                <w:szCs w:val="21"/>
              </w:rPr>
              <w:t>由</w:t>
            </w:r>
            <w:r>
              <w:rPr>
                <w:rFonts w:hint="eastAsia" w:ascii="Times New Roman" w:hAnsi="Times New Roman"/>
                <w:color w:val="auto"/>
                <w:szCs w:val="21"/>
              </w:rPr>
              <w:t>厂家车辆</w:t>
            </w:r>
            <w:r>
              <w:rPr>
                <w:rFonts w:hint="eastAsia"/>
                <w:color w:val="auto"/>
                <w:szCs w:val="21"/>
              </w:rPr>
              <w:t>运输</w:t>
            </w:r>
            <w:r>
              <w:rPr>
                <w:rFonts w:hint="eastAsia" w:ascii="Times New Roman" w:hAnsi="Times New Roman"/>
                <w:color w:val="auto"/>
                <w:szCs w:val="21"/>
              </w:rPr>
              <w:t>，发货</w:t>
            </w:r>
            <w:r>
              <w:rPr>
                <w:rFonts w:hint="eastAsia"/>
                <w:color w:val="auto"/>
                <w:szCs w:val="21"/>
              </w:rPr>
              <w:t>由</w:t>
            </w:r>
            <w:r>
              <w:rPr>
                <w:rFonts w:hint="eastAsia" w:ascii="Times New Roman" w:hAnsi="Times New Roman"/>
                <w:color w:val="auto"/>
                <w:szCs w:val="21"/>
              </w:rPr>
              <w:t>物流车辆</w:t>
            </w:r>
            <w:r>
              <w:rPr>
                <w:rFonts w:hint="eastAsia"/>
                <w:color w:val="auto"/>
                <w:szCs w:val="21"/>
              </w:rPr>
              <w:t>运输</w:t>
            </w:r>
          </w:p>
        </w:tc>
        <w:tc>
          <w:tcPr>
            <w:tcW w:w="2816" w:type="dxa"/>
            <w:vAlign w:val="center"/>
          </w:tcPr>
          <w:p>
            <w:pPr>
              <w:jc w:val="center"/>
              <w:rPr>
                <w:rFonts w:ascii="Times New Roman" w:hAnsi="Times New Roman"/>
                <w:color w:val="auto"/>
                <w:szCs w:val="21"/>
              </w:rPr>
            </w:pPr>
            <w:r>
              <w:rPr>
                <w:rFonts w:hint="eastAsia"/>
                <w:color w:val="auto"/>
                <w:szCs w:val="21"/>
              </w:rPr>
              <w:t>已验收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94" w:hRule="atLeast"/>
          <w:jc w:val="center"/>
        </w:trPr>
        <w:tc>
          <w:tcPr>
            <w:tcW w:w="734" w:type="dxa"/>
            <w:vMerge w:val="continue"/>
            <w:vAlign w:val="center"/>
          </w:tcPr>
          <w:p>
            <w:pPr>
              <w:jc w:val="center"/>
              <w:rPr>
                <w:rFonts w:ascii="Times New Roman" w:hAnsi="Times New Roman"/>
                <w:color w:val="auto"/>
                <w:szCs w:val="21"/>
              </w:rPr>
            </w:pPr>
          </w:p>
        </w:tc>
        <w:tc>
          <w:tcPr>
            <w:tcW w:w="1122" w:type="dxa"/>
            <w:vAlign w:val="center"/>
          </w:tcPr>
          <w:p>
            <w:pPr>
              <w:jc w:val="center"/>
              <w:rPr>
                <w:rFonts w:ascii="Times New Roman" w:hAnsi="Times New Roman"/>
                <w:color w:val="auto"/>
                <w:szCs w:val="21"/>
              </w:rPr>
            </w:pPr>
            <w:r>
              <w:rPr>
                <w:rFonts w:hint="eastAsia"/>
                <w:color w:val="auto"/>
                <w:szCs w:val="21"/>
              </w:rPr>
              <w:t>物料储存</w:t>
            </w:r>
          </w:p>
        </w:tc>
        <w:tc>
          <w:tcPr>
            <w:tcW w:w="4225" w:type="dxa"/>
            <w:vAlign w:val="center"/>
          </w:tcPr>
          <w:p>
            <w:pPr>
              <w:jc w:val="center"/>
              <w:rPr>
                <w:rFonts w:ascii="Times New Roman" w:hAnsi="Times New Roman"/>
                <w:color w:val="auto"/>
                <w:szCs w:val="21"/>
              </w:rPr>
            </w:pPr>
            <w:r>
              <w:rPr>
                <w:rFonts w:hint="eastAsia"/>
                <w:color w:val="auto"/>
                <w:szCs w:val="21"/>
              </w:rPr>
              <w:t>1#厂房东北角设置原料砂石堆放库，原料库全密闭；设一座水泥筒仓，仓顶安装脉冲布袋除尘器</w:t>
            </w:r>
          </w:p>
        </w:tc>
        <w:tc>
          <w:tcPr>
            <w:tcW w:w="2816" w:type="dxa"/>
            <w:vAlign w:val="center"/>
          </w:tcPr>
          <w:p>
            <w:pPr>
              <w:jc w:val="center"/>
              <w:rPr>
                <w:color w:val="auto"/>
                <w:szCs w:val="21"/>
              </w:rPr>
            </w:pPr>
            <w:r>
              <w:rPr>
                <w:rFonts w:hint="eastAsia" w:ascii="Times New Roman" w:hAnsi="Times New Roman"/>
                <w:color w:val="auto"/>
                <w:szCs w:val="21"/>
              </w:rPr>
              <w:t>未建，采用外购混凝土经罐车拉至厂内，混凝土搅拌生产线不再建设</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94" w:hRule="atLeast"/>
          <w:jc w:val="center"/>
        </w:trPr>
        <w:tc>
          <w:tcPr>
            <w:tcW w:w="734" w:type="dxa"/>
            <w:vMerge w:val="continue"/>
            <w:vAlign w:val="center"/>
          </w:tcPr>
          <w:p>
            <w:pPr>
              <w:jc w:val="center"/>
              <w:rPr>
                <w:rFonts w:ascii="Times New Roman" w:hAnsi="Times New Roman"/>
                <w:color w:val="auto"/>
                <w:szCs w:val="21"/>
              </w:rPr>
            </w:pPr>
          </w:p>
        </w:tc>
        <w:tc>
          <w:tcPr>
            <w:tcW w:w="1122" w:type="dxa"/>
            <w:vAlign w:val="center"/>
          </w:tcPr>
          <w:p>
            <w:pPr>
              <w:jc w:val="center"/>
              <w:rPr>
                <w:rFonts w:ascii="Times New Roman" w:hAnsi="Times New Roman"/>
                <w:color w:val="auto"/>
                <w:szCs w:val="21"/>
              </w:rPr>
            </w:pPr>
            <w:r>
              <w:rPr>
                <w:rFonts w:hint="eastAsia"/>
                <w:color w:val="auto"/>
                <w:szCs w:val="21"/>
              </w:rPr>
              <w:t>混凝土搅拌粉尘</w:t>
            </w:r>
          </w:p>
        </w:tc>
        <w:tc>
          <w:tcPr>
            <w:tcW w:w="4225" w:type="dxa"/>
            <w:vAlign w:val="center"/>
          </w:tcPr>
          <w:p>
            <w:pPr>
              <w:jc w:val="center"/>
              <w:rPr>
                <w:rFonts w:ascii="Times New Roman" w:hAnsi="Times New Roman"/>
                <w:color w:val="auto"/>
                <w:szCs w:val="21"/>
              </w:rPr>
            </w:pPr>
            <w:r>
              <w:rPr>
                <w:rFonts w:hint="eastAsia"/>
                <w:color w:val="auto"/>
                <w:szCs w:val="21"/>
              </w:rPr>
              <w:t>搅拌区设带有配比装置的搅拌机一套，安装集尘罩经布袋除尘器处理后与筒仓废气一同经15m排气筒排放</w:t>
            </w:r>
          </w:p>
        </w:tc>
        <w:tc>
          <w:tcPr>
            <w:tcW w:w="2816" w:type="dxa"/>
            <w:vAlign w:val="center"/>
          </w:tcPr>
          <w:p>
            <w:pPr>
              <w:jc w:val="center"/>
              <w:rPr>
                <w:color w:val="auto"/>
                <w:szCs w:val="21"/>
              </w:rPr>
            </w:pPr>
            <w:r>
              <w:rPr>
                <w:rFonts w:hint="eastAsia" w:ascii="Times New Roman" w:hAnsi="Times New Roman"/>
                <w:color w:val="auto"/>
                <w:szCs w:val="21"/>
              </w:rPr>
              <w:t>未建，采用外购混凝土经罐车拉至厂内，混凝土搅拌生产线不再建设</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94" w:hRule="atLeast"/>
          <w:jc w:val="center"/>
        </w:trPr>
        <w:tc>
          <w:tcPr>
            <w:tcW w:w="734" w:type="dxa"/>
            <w:vMerge w:val="continue"/>
            <w:vAlign w:val="center"/>
          </w:tcPr>
          <w:p>
            <w:pPr>
              <w:jc w:val="center"/>
              <w:rPr>
                <w:rFonts w:ascii="Times New Roman" w:hAnsi="Times New Roman"/>
                <w:color w:val="auto"/>
                <w:szCs w:val="21"/>
              </w:rPr>
            </w:pPr>
          </w:p>
        </w:tc>
        <w:tc>
          <w:tcPr>
            <w:tcW w:w="1122" w:type="dxa"/>
            <w:vAlign w:val="center"/>
          </w:tcPr>
          <w:p>
            <w:pPr>
              <w:jc w:val="center"/>
              <w:rPr>
                <w:rFonts w:ascii="Times New Roman" w:hAnsi="Times New Roman"/>
                <w:color w:val="auto"/>
                <w:szCs w:val="21"/>
              </w:rPr>
            </w:pPr>
            <w:r>
              <w:rPr>
                <w:rFonts w:ascii="Times New Roman" w:hAnsi="Times New Roman"/>
                <w:color w:val="auto"/>
                <w:szCs w:val="21"/>
              </w:rPr>
              <w:t>焊接</w:t>
            </w:r>
          </w:p>
        </w:tc>
        <w:tc>
          <w:tcPr>
            <w:tcW w:w="4225" w:type="dxa"/>
            <w:vAlign w:val="center"/>
          </w:tcPr>
          <w:p>
            <w:pPr>
              <w:jc w:val="center"/>
              <w:rPr>
                <w:rFonts w:ascii="Times New Roman" w:hAnsi="Times New Roman"/>
                <w:color w:val="auto"/>
                <w:szCs w:val="21"/>
              </w:rPr>
            </w:pPr>
            <w:r>
              <w:rPr>
                <w:rFonts w:hint="eastAsia"/>
                <w:color w:val="auto"/>
                <w:szCs w:val="21"/>
              </w:rPr>
              <w:t>焊接区每个工位设置移动式吸气臂，与切割粉尘共用一个沉流式除尘器处理后，经排气筒排放</w:t>
            </w:r>
          </w:p>
        </w:tc>
        <w:tc>
          <w:tcPr>
            <w:tcW w:w="2816" w:type="dxa"/>
            <w:vAlign w:val="center"/>
          </w:tcPr>
          <w:p>
            <w:pPr>
              <w:jc w:val="center"/>
              <w:rPr>
                <w:color w:val="auto"/>
                <w:szCs w:val="21"/>
              </w:rPr>
            </w:pPr>
            <w:r>
              <w:rPr>
                <w:rFonts w:hint="eastAsia"/>
                <w:color w:val="auto"/>
                <w:szCs w:val="21"/>
              </w:rPr>
              <w:t>已验收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55" w:hRule="atLeast"/>
          <w:jc w:val="center"/>
        </w:trPr>
        <w:tc>
          <w:tcPr>
            <w:tcW w:w="734" w:type="dxa"/>
            <w:vMerge w:val="continue"/>
            <w:vAlign w:val="center"/>
          </w:tcPr>
          <w:p>
            <w:pPr>
              <w:jc w:val="center"/>
              <w:rPr>
                <w:color w:val="auto"/>
                <w:szCs w:val="21"/>
              </w:rPr>
            </w:pPr>
          </w:p>
        </w:tc>
        <w:tc>
          <w:tcPr>
            <w:tcW w:w="1122" w:type="dxa"/>
            <w:vAlign w:val="center"/>
          </w:tcPr>
          <w:p>
            <w:pPr>
              <w:jc w:val="center"/>
              <w:rPr>
                <w:rFonts w:ascii="Times New Roman" w:hAnsi="Times New Roman"/>
                <w:color w:val="auto"/>
                <w:szCs w:val="21"/>
              </w:rPr>
            </w:pPr>
            <w:r>
              <w:rPr>
                <w:rFonts w:hint="eastAsia"/>
                <w:color w:val="auto"/>
                <w:szCs w:val="21"/>
              </w:rPr>
              <w:t>切割粉尘</w:t>
            </w:r>
          </w:p>
        </w:tc>
        <w:tc>
          <w:tcPr>
            <w:tcW w:w="4225" w:type="dxa"/>
            <w:vAlign w:val="center"/>
          </w:tcPr>
          <w:p>
            <w:pPr>
              <w:jc w:val="center"/>
              <w:rPr>
                <w:rFonts w:ascii="Times New Roman" w:hAnsi="Times New Roman"/>
                <w:color w:val="auto"/>
                <w:szCs w:val="21"/>
              </w:rPr>
            </w:pPr>
            <w:r>
              <w:rPr>
                <w:rFonts w:hint="eastAsia"/>
                <w:color w:val="auto"/>
                <w:szCs w:val="21"/>
              </w:rPr>
              <w:t>切割区每个工位各安装移动式吸气臂，与焊接共用一个沉流式除尘器处理后，经排气筒排放</w:t>
            </w:r>
          </w:p>
        </w:tc>
        <w:tc>
          <w:tcPr>
            <w:tcW w:w="2816" w:type="dxa"/>
            <w:vAlign w:val="center"/>
          </w:tcPr>
          <w:p>
            <w:pPr>
              <w:jc w:val="center"/>
              <w:rPr>
                <w:color w:val="auto"/>
                <w:szCs w:val="21"/>
              </w:rPr>
            </w:pPr>
            <w:r>
              <w:rPr>
                <w:rFonts w:hint="eastAsia"/>
                <w:color w:val="auto"/>
                <w:szCs w:val="21"/>
              </w:rPr>
              <w:t>已验收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734" w:type="dxa"/>
            <w:vMerge w:val="continue"/>
            <w:vAlign w:val="center"/>
          </w:tcPr>
          <w:p>
            <w:pPr>
              <w:jc w:val="center"/>
              <w:rPr>
                <w:rFonts w:ascii="Times New Roman" w:hAnsi="Times New Roman"/>
                <w:color w:val="auto"/>
                <w:szCs w:val="21"/>
              </w:rPr>
            </w:pPr>
          </w:p>
        </w:tc>
        <w:tc>
          <w:tcPr>
            <w:tcW w:w="1122" w:type="dxa"/>
            <w:vAlign w:val="center"/>
          </w:tcPr>
          <w:p>
            <w:pPr>
              <w:jc w:val="center"/>
              <w:rPr>
                <w:rFonts w:ascii="Times New Roman" w:hAnsi="Times New Roman"/>
                <w:color w:val="auto"/>
                <w:szCs w:val="21"/>
              </w:rPr>
            </w:pPr>
            <w:r>
              <w:rPr>
                <w:rFonts w:hint="eastAsia"/>
                <w:color w:val="auto"/>
                <w:szCs w:val="21"/>
              </w:rPr>
              <w:t>打磨粉尘</w:t>
            </w:r>
          </w:p>
        </w:tc>
        <w:tc>
          <w:tcPr>
            <w:tcW w:w="4225" w:type="dxa"/>
            <w:vAlign w:val="center"/>
          </w:tcPr>
          <w:p>
            <w:pPr>
              <w:jc w:val="center"/>
              <w:rPr>
                <w:color w:val="auto"/>
                <w:szCs w:val="21"/>
              </w:rPr>
            </w:pPr>
            <w:r>
              <w:rPr>
                <w:rFonts w:hint="eastAsia"/>
                <w:color w:val="auto"/>
                <w:szCs w:val="21"/>
              </w:rPr>
              <w:t>抛丸机粉尘由自带除尘器处理后同焊接共用一个排气筒排放</w:t>
            </w:r>
          </w:p>
        </w:tc>
        <w:tc>
          <w:tcPr>
            <w:tcW w:w="2816" w:type="dxa"/>
            <w:vAlign w:val="center"/>
          </w:tcPr>
          <w:p>
            <w:pPr>
              <w:jc w:val="center"/>
              <w:rPr>
                <w:color w:val="auto"/>
                <w:szCs w:val="21"/>
              </w:rPr>
            </w:pPr>
            <w:r>
              <w:rPr>
                <w:rFonts w:hint="eastAsia"/>
                <w:color w:val="auto"/>
                <w:szCs w:val="21"/>
              </w:rPr>
              <w:t>未建，目前厂区设有15台角磨机，满足生产需求，不再安装抛丸机。</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94" w:hRule="atLeast"/>
          <w:jc w:val="center"/>
        </w:trPr>
        <w:tc>
          <w:tcPr>
            <w:tcW w:w="734" w:type="dxa"/>
            <w:vMerge w:val="continue"/>
            <w:vAlign w:val="center"/>
          </w:tcPr>
          <w:p>
            <w:pPr>
              <w:jc w:val="center"/>
              <w:rPr>
                <w:rFonts w:ascii="Times New Roman" w:hAnsi="Times New Roman"/>
                <w:color w:val="auto"/>
                <w:szCs w:val="21"/>
              </w:rPr>
            </w:pPr>
          </w:p>
        </w:tc>
        <w:tc>
          <w:tcPr>
            <w:tcW w:w="1122" w:type="dxa"/>
            <w:vAlign w:val="center"/>
          </w:tcPr>
          <w:p>
            <w:pPr>
              <w:jc w:val="center"/>
              <w:rPr>
                <w:rFonts w:ascii="Times New Roman" w:hAnsi="Times New Roman"/>
                <w:color w:val="auto"/>
                <w:szCs w:val="21"/>
              </w:rPr>
            </w:pPr>
            <w:r>
              <w:rPr>
                <w:rFonts w:hint="eastAsia"/>
                <w:color w:val="auto"/>
                <w:szCs w:val="21"/>
              </w:rPr>
              <w:t>喷漆废气</w:t>
            </w:r>
          </w:p>
        </w:tc>
        <w:tc>
          <w:tcPr>
            <w:tcW w:w="4225" w:type="dxa"/>
            <w:vAlign w:val="center"/>
          </w:tcPr>
          <w:p>
            <w:pPr>
              <w:jc w:val="center"/>
              <w:rPr>
                <w:rFonts w:ascii="Times New Roman" w:hAnsi="Times New Roman"/>
                <w:color w:val="auto"/>
                <w:szCs w:val="21"/>
              </w:rPr>
            </w:pPr>
            <w:r>
              <w:rPr>
                <w:rFonts w:hint="eastAsia"/>
                <w:color w:val="auto"/>
                <w:szCs w:val="21"/>
              </w:rPr>
              <w:t>1#厂房内设一座6m×10m×3m的喷漆房和6m×15m×3m的晾干房，采用顶部送风、底部抽风的形式，配备一套“干式过滤+活性炭吸附+催化燃烧”装置+15m排气筒</w:t>
            </w:r>
          </w:p>
        </w:tc>
        <w:tc>
          <w:tcPr>
            <w:tcW w:w="2816" w:type="dxa"/>
            <w:vAlign w:val="center"/>
          </w:tcPr>
          <w:p>
            <w:pPr>
              <w:jc w:val="center"/>
              <w:rPr>
                <w:color w:val="auto"/>
                <w:szCs w:val="21"/>
              </w:rPr>
            </w:pPr>
            <w:r>
              <w:rPr>
                <w:rFonts w:hint="eastAsia"/>
                <w:color w:val="auto"/>
                <w:szCs w:val="21"/>
              </w:rPr>
              <w:t>位于2#厂房内，设一座6m×10m×3m的伸缩式喷漆房和6m×10m×3m晾干房，采用一套“干式过滤+活性炭吸附+催化燃烧”装置+15m排气筒</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734" w:type="dxa"/>
            <w:vMerge w:val="continue"/>
            <w:vAlign w:val="center"/>
          </w:tcPr>
          <w:p>
            <w:pPr>
              <w:jc w:val="center"/>
              <w:rPr>
                <w:rFonts w:ascii="Times New Roman" w:hAnsi="Times New Roman"/>
                <w:color w:val="auto"/>
                <w:szCs w:val="21"/>
              </w:rPr>
            </w:pPr>
          </w:p>
        </w:tc>
        <w:tc>
          <w:tcPr>
            <w:tcW w:w="1122" w:type="dxa"/>
            <w:vAlign w:val="center"/>
          </w:tcPr>
          <w:p>
            <w:pPr>
              <w:jc w:val="center"/>
              <w:rPr>
                <w:color w:val="auto"/>
                <w:szCs w:val="21"/>
              </w:rPr>
            </w:pPr>
            <w:r>
              <w:rPr>
                <w:rFonts w:hint="eastAsia"/>
                <w:color w:val="auto"/>
                <w:szCs w:val="21"/>
              </w:rPr>
              <w:t>食堂油烟</w:t>
            </w:r>
          </w:p>
        </w:tc>
        <w:tc>
          <w:tcPr>
            <w:tcW w:w="4225" w:type="dxa"/>
            <w:vAlign w:val="center"/>
          </w:tcPr>
          <w:p>
            <w:pPr>
              <w:jc w:val="center"/>
              <w:rPr>
                <w:rFonts w:ascii="Times New Roman" w:hAnsi="Times New Roman"/>
                <w:color w:val="auto"/>
                <w:szCs w:val="21"/>
              </w:rPr>
            </w:pPr>
            <w:r>
              <w:rPr>
                <w:rFonts w:hint="eastAsia"/>
                <w:color w:val="auto"/>
                <w:szCs w:val="21"/>
              </w:rPr>
              <w:t>食堂配备1台油烟净化器</w:t>
            </w:r>
          </w:p>
        </w:tc>
        <w:tc>
          <w:tcPr>
            <w:tcW w:w="2816" w:type="dxa"/>
            <w:vAlign w:val="center"/>
          </w:tcPr>
          <w:p>
            <w:pPr>
              <w:jc w:val="center"/>
              <w:rPr>
                <w:color w:val="auto"/>
                <w:szCs w:val="21"/>
              </w:rPr>
            </w:pPr>
            <w:r>
              <w:rPr>
                <w:rFonts w:hint="eastAsia"/>
                <w:color w:val="auto"/>
                <w:szCs w:val="21"/>
              </w:rPr>
              <w:t>未建，食堂变更为多功能会议室</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734" w:type="dxa"/>
            <w:vMerge w:val="continue"/>
            <w:vAlign w:val="center"/>
          </w:tcPr>
          <w:p>
            <w:pPr>
              <w:jc w:val="center"/>
              <w:rPr>
                <w:rFonts w:ascii="Times New Roman" w:hAnsi="Times New Roman"/>
                <w:color w:val="auto"/>
                <w:szCs w:val="21"/>
              </w:rPr>
            </w:pPr>
          </w:p>
        </w:tc>
        <w:tc>
          <w:tcPr>
            <w:tcW w:w="1122" w:type="dxa"/>
            <w:vAlign w:val="center"/>
          </w:tcPr>
          <w:p>
            <w:pPr>
              <w:jc w:val="center"/>
              <w:rPr>
                <w:color w:val="auto"/>
                <w:szCs w:val="21"/>
              </w:rPr>
            </w:pPr>
            <w:r>
              <w:rPr>
                <w:rFonts w:hint="eastAsia"/>
                <w:color w:val="auto"/>
                <w:szCs w:val="21"/>
              </w:rPr>
              <w:t>危废暂存间</w:t>
            </w:r>
          </w:p>
        </w:tc>
        <w:tc>
          <w:tcPr>
            <w:tcW w:w="4225" w:type="dxa"/>
            <w:vAlign w:val="center"/>
          </w:tcPr>
          <w:p>
            <w:pPr>
              <w:jc w:val="center"/>
              <w:rPr>
                <w:color w:val="auto"/>
                <w:szCs w:val="21"/>
              </w:rPr>
            </w:pPr>
            <w:r>
              <w:rPr>
                <w:rFonts w:hint="eastAsia"/>
                <w:color w:val="auto"/>
                <w:szCs w:val="21"/>
              </w:rPr>
              <w:t>1#厂房南面设置一座30m</w:t>
            </w:r>
            <w:r>
              <w:rPr>
                <w:rFonts w:hint="eastAsia"/>
                <w:color w:val="auto"/>
                <w:szCs w:val="21"/>
                <w:vertAlign w:val="superscript"/>
              </w:rPr>
              <w:t>2</w:t>
            </w:r>
            <w:r>
              <w:rPr>
                <w:rFonts w:hint="eastAsia"/>
                <w:color w:val="auto"/>
                <w:szCs w:val="21"/>
              </w:rPr>
              <w:t>危废暂存间</w:t>
            </w:r>
          </w:p>
        </w:tc>
        <w:tc>
          <w:tcPr>
            <w:tcW w:w="2816" w:type="dxa"/>
            <w:vAlign w:val="center"/>
          </w:tcPr>
          <w:p>
            <w:pPr>
              <w:jc w:val="center"/>
              <w:rPr>
                <w:color w:val="auto"/>
                <w:szCs w:val="21"/>
              </w:rPr>
            </w:pPr>
            <w:r>
              <w:rPr>
                <w:rFonts w:hint="eastAsia" w:cs="Times New Roman"/>
                <w:color w:val="auto"/>
                <w:sz w:val="21"/>
                <w:szCs w:val="21"/>
                <w:lang w:val="en-US" w:eastAsia="zh-CN"/>
              </w:rPr>
              <w:t>变更于厂区东北角，已做地面防渗及导流槽</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734" w:type="dxa"/>
            <w:vMerge w:val="continue"/>
            <w:vAlign w:val="center"/>
          </w:tcPr>
          <w:p>
            <w:pPr>
              <w:jc w:val="center"/>
              <w:rPr>
                <w:rFonts w:ascii="Times New Roman" w:hAnsi="Times New Roman"/>
                <w:color w:val="auto"/>
                <w:szCs w:val="21"/>
              </w:rPr>
            </w:pPr>
          </w:p>
        </w:tc>
        <w:tc>
          <w:tcPr>
            <w:tcW w:w="1122" w:type="dxa"/>
            <w:vAlign w:val="center"/>
          </w:tcPr>
          <w:p>
            <w:pPr>
              <w:jc w:val="center"/>
              <w:rPr>
                <w:color w:val="auto"/>
                <w:szCs w:val="21"/>
              </w:rPr>
            </w:pPr>
            <w:r>
              <w:rPr>
                <w:rFonts w:hint="eastAsia"/>
                <w:color w:val="auto"/>
                <w:szCs w:val="21"/>
              </w:rPr>
              <w:t>化粪池</w:t>
            </w:r>
          </w:p>
        </w:tc>
        <w:tc>
          <w:tcPr>
            <w:tcW w:w="4225" w:type="dxa"/>
            <w:vAlign w:val="center"/>
          </w:tcPr>
          <w:p>
            <w:pPr>
              <w:jc w:val="center"/>
              <w:rPr>
                <w:color w:val="auto"/>
                <w:szCs w:val="21"/>
              </w:rPr>
            </w:pPr>
            <w:r>
              <w:rPr>
                <w:rFonts w:hint="eastAsia"/>
                <w:color w:val="auto"/>
                <w:szCs w:val="21"/>
              </w:rPr>
              <w:t>厂区设两个化粪池，均为100m³</w:t>
            </w:r>
          </w:p>
        </w:tc>
        <w:tc>
          <w:tcPr>
            <w:tcW w:w="2816" w:type="dxa"/>
            <w:vAlign w:val="center"/>
          </w:tcPr>
          <w:p>
            <w:pPr>
              <w:jc w:val="center"/>
              <w:rPr>
                <w:color w:val="auto"/>
                <w:szCs w:val="21"/>
              </w:rPr>
            </w:pPr>
            <w:r>
              <w:rPr>
                <w:rFonts w:hint="eastAsia"/>
                <w:color w:val="auto"/>
                <w:szCs w:val="21"/>
              </w:rPr>
              <w:t>已验收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734" w:type="dxa"/>
            <w:vMerge w:val="continue"/>
            <w:vAlign w:val="center"/>
          </w:tcPr>
          <w:p>
            <w:pPr>
              <w:jc w:val="center"/>
              <w:rPr>
                <w:rFonts w:ascii="Times New Roman" w:hAnsi="Times New Roman"/>
                <w:color w:val="auto"/>
                <w:szCs w:val="21"/>
              </w:rPr>
            </w:pPr>
          </w:p>
        </w:tc>
        <w:tc>
          <w:tcPr>
            <w:tcW w:w="1122" w:type="dxa"/>
            <w:vAlign w:val="center"/>
          </w:tcPr>
          <w:p>
            <w:pPr>
              <w:jc w:val="center"/>
              <w:rPr>
                <w:color w:val="auto"/>
                <w:szCs w:val="21"/>
              </w:rPr>
            </w:pPr>
            <w:r>
              <w:rPr>
                <w:rFonts w:hint="eastAsia"/>
                <w:color w:val="auto"/>
                <w:szCs w:val="21"/>
              </w:rPr>
              <w:t>洗车平台</w:t>
            </w:r>
          </w:p>
        </w:tc>
        <w:tc>
          <w:tcPr>
            <w:tcW w:w="4225" w:type="dxa"/>
            <w:vAlign w:val="center"/>
          </w:tcPr>
          <w:p>
            <w:pPr>
              <w:jc w:val="center"/>
              <w:rPr>
                <w:color w:val="auto"/>
                <w:szCs w:val="21"/>
              </w:rPr>
            </w:pPr>
            <w:r>
              <w:rPr>
                <w:rFonts w:hint="eastAsia"/>
                <w:color w:val="auto"/>
                <w:szCs w:val="21"/>
              </w:rPr>
              <w:t>在厂区出入口设置一个8.5m</w:t>
            </w:r>
            <w:r>
              <w:rPr>
                <w:rFonts w:hint="eastAsia"/>
                <w:color w:val="auto"/>
                <w:szCs w:val="21"/>
                <w:vertAlign w:val="superscript"/>
              </w:rPr>
              <w:t>2</w:t>
            </w:r>
            <w:r>
              <w:rPr>
                <w:rFonts w:hint="eastAsia"/>
                <w:color w:val="auto"/>
                <w:szCs w:val="21"/>
              </w:rPr>
              <w:t>的洗车平台，配套一座20m</w:t>
            </w:r>
            <w:r>
              <w:rPr>
                <w:rFonts w:hint="eastAsia"/>
                <w:color w:val="auto"/>
                <w:szCs w:val="21"/>
                <w:vertAlign w:val="superscript"/>
              </w:rPr>
              <w:t>3</w:t>
            </w:r>
            <w:r>
              <w:rPr>
                <w:rFonts w:hint="eastAsia"/>
                <w:color w:val="auto"/>
                <w:szCs w:val="21"/>
              </w:rPr>
              <w:t>的沉淀池</w:t>
            </w:r>
          </w:p>
        </w:tc>
        <w:tc>
          <w:tcPr>
            <w:tcW w:w="2816" w:type="dxa"/>
            <w:vAlign w:val="center"/>
          </w:tcPr>
          <w:p>
            <w:pPr>
              <w:jc w:val="center"/>
              <w:rPr>
                <w:color w:val="auto"/>
                <w:szCs w:val="21"/>
              </w:rPr>
            </w:pPr>
            <w:r>
              <w:rPr>
                <w:rFonts w:hint="eastAsia"/>
                <w:color w:val="auto"/>
                <w:szCs w:val="21"/>
              </w:rPr>
              <w:t>已验收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83" w:hRule="atLeast"/>
          <w:jc w:val="center"/>
        </w:trPr>
        <w:tc>
          <w:tcPr>
            <w:tcW w:w="734" w:type="dxa"/>
            <w:vMerge w:val="continue"/>
            <w:vAlign w:val="center"/>
          </w:tcPr>
          <w:p>
            <w:pPr>
              <w:jc w:val="center"/>
              <w:rPr>
                <w:rFonts w:ascii="Times New Roman" w:hAnsi="Times New Roman"/>
                <w:color w:val="auto"/>
                <w:szCs w:val="21"/>
              </w:rPr>
            </w:pPr>
          </w:p>
        </w:tc>
        <w:tc>
          <w:tcPr>
            <w:tcW w:w="1122" w:type="dxa"/>
            <w:vAlign w:val="center"/>
          </w:tcPr>
          <w:p>
            <w:pPr>
              <w:jc w:val="center"/>
              <w:rPr>
                <w:rFonts w:ascii="Times New Roman" w:hAnsi="Times New Roman"/>
                <w:color w:val="auto"/>
                <w:szCs w:val="21"/>
              </w:rPr>
            </w:pPr>
            <w:r>
              <w:rPr>
                <w:rFonts w:hint="eastAsia"/>
                <w:color w:val="auto"/>
                <w:szCs w:val="21"/>
              </w:rPr>
              <w:t>混凝土养护废水</w:t>
            </w:r>
          </w:p>
        </w:tc>
        <w:tc>
          <w:tcPr>
            <w:tcW w:w="4225" w:type="dxa"/>
            <w:vAlign w:val="center"/>
          </w:tcPr>
          <w:p>
            <w:pPr>
              <w:jc w:val="center"/>
              <w:rPr>
                <w:rFonts w:ascii="Times New Roman" w:hAnsi="Times New Roman"/>
                <w:color w:val="auto"/>
                <w:szCs w:val="21"/>
              </w:rPr>
            </w:pPr>
            <w:r>
              <w:rPr>
                <w:rFonts w:hint="eastAsia"/>
                <w:color w:val="auto"/>
                <w:szCs w:val="21"/>
              </w:rPr>
              <w:t>实际建设循环水池28.5m</w:t>
            </w:r>
            <w:r>
              <w:rPr>
                <w:rFonts w:hint="eastAsia"/>
                <w:color w:val="auto"/>
                <w:szCs w:val="21"/>
                <w:vertAlign w:val="superscript"/>
              </w:rPr>
              <w:t>3</w:t>
            </w:r>
          </w:p>
        </w:tc>
        <w:tc>
          <w:tcPr>
            <w:tcW w:w="2816" w:type="dxa"/>
            <w:vAlign w:val="center"/>
          </w:tcPr>
          <w:p>
            <w:pPr>
              <w:jc w:val="center"/>
              <w:rPr>
                <w:color w:val="auto"/>
                <w:szCs w:val="21"/>
              </w:rPr>
            </w:pPr>
            <w:r>
              <w:rPr>
                <w:rFonts w:hint="eastAsia"/>
                <w:color w:val="auto"/>
                <w:szCs w:val="21"/>
              </w:rPr>
              <w:t>已验收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66" w:hRule="atLeast"/>
          <w:jc w:val="center"/>
        </w:trPr>
        <w:tc>
          <w:tcPr>
            <w:tcW w:w="734" w:type="dxa"/>
            <w:vMerge w:val="continue"/>
            <w:vAlign w:val="center"/>
          </w:tcPr>
          <w:p>
            <w:pPr>
              <w:jc w:val="center"/>
              <w:rPr>
                <w:rFonts w:ascii="Times New Roman" w:hAnsi="Times New Roman"/>
                <w:color w:val="auto"/>
                <w:szCs w:val="21"/>
              </w:rPr>
            </w:pPr>
          </w:p>
        </w:tc>
        <w:tc>
          <w:tcPr>
            <w:tcW w:w="1122" w:type="dxa"/>
            <w:vAlign w:val="center"/>
          </w:tcPr>
          <w:p>
            <w:pPr>
              <w:jc w:val="center"/>
              <w:rPr>
                <w:rFonts w:ascii="Times New Roman" w:hAnsi="Times New Roman"/>
                <w:color w:val="auto"/>
                <w:szCs w:val="21"/>
              </w:rPr>
            </w:pPr>
            <w:r>
              <w:rPr>
                <w:rFonts w:ascii="Times New Roman" w:hAnsi="Times New Roman"/>
                <w:color w:val="auto"/>
                <w:szCs w:val="21"/>
              </w:rPr>
              <w:t>绿化</w:t>
            </w:r>
          </w:p>
        </w:tc>
        <w:tc>
          <w:tcPr>
            <w:tcW w:w="4225" w:type="dxa"/>
            <w:vAlign w:val="center"/>
          </w:tcPr>
          <w:p>
            <w:pPr>
              <w:jc w:val="center"/>
              <w:rPr>
                <w:rFonts w:ascii="Times New Roman" w:hAnsi="Times New Roman"/>
                <w:color w:val="auto"/>
                <w:szCs w:val="21"/>
              </w:rPr>
            </w:pPr>
            <w:r>
              <w:rPr>
                <w:rFonts w:ascii="Times New Roman" w:hAnsi="Times New Roman"/>
                <w:color w:val="auto"/>
                <w:szCs w:val="21"/>
              </w:rPr>
              <w:t>绿化面积为</w:t>
            </w:r>
            <w:r>
              <w:rPr>
                <w:rFonts w:hint="eastAsia"/>
                <w:color w:val="auto"/>
                <w:szCs w:val="21"/>
              </w:rPr>
              <w:t>8024.48</w:t>
            </w:r>
            <w:r>
              <w:rPr>
                <w:rFonts w:ascii="Times New Roman" w:hAnsi="Times New Roman"/>
                <w:color w:val="auto"/>
                <w:szCs w:val="21"/>
              </w:rPr>
              <w:t>m</w:t>
            </w:r>
            <w:r>
              <w:rPr>
                <w:rFonts w:ascii="Times New Roman" w:hAnsi="Times New Roman"/>
                <w:color w:val="auto"/>
                <w:szCs w:val="21"/>
                <w:vertAlign w:val="superscript"/>
              </w:rPr>
              <w:t>2</w:t>
            </w:r>
          </w:p>
        </w:tc>
        <w:tc>
          <w:tcPr>
            <w:tcW w:w="2816" w:type="dxa"/>
            <w:vAlign w:val="center"/>
          </w:tcPr>
          <w:p>
            <w:pPr>
              <w:jc w:val="center"/>
              <w:rPr>
                <w:rFonts w:ascii="Times New Roman" w:hAnsi="Times New Roman"/>
                <w:color w:val="auto"/>
                <w:szCs w:val="21"/>
              </w:rPr>
            </w:pPr>
            <w:r>
              <w:rPr>
                <w:rFonts w:ascii="Times New Roman" w:hAnsi="Times New Roman"/>
                <w:color w:val="auto"/>
                <w:szCs w:val="21"/>
              </w:rPr>
              <w:t>绿化面积为</w:t>
            </w:r>
            <w:r>
              <w:rPr>
                <w:rFonts w:hint="eastAsia"/>
                <w:color w:val="auto"/>
                <w:szCs w:val="21"/>
              </w:rPr>
              <w:t>5000</w:t>
            </w:r>
            <w:r>
              <w:rPr>
                <w:rFonts w:ascii="Times New Roman" w:hAnsi="Times New Roman"/>
                <w:color w:val="auto"/>
                <w:szCs w:val="21"/>
              </w:rPr>
              <w:t>m</w:t>
            </w:r>
            <w:r>
              <w:rPr>
                <w:rFonts w:ascii="Times New Roman" w:hAnsi="Times New Roman"/>
                <w:color w:val="auto"/>
                <w:szCs w:val="21"/>
                <w:vertAlign w:val="superscript"/>
              </w:rPr>
              <w:t>2</w:t>
            </w:r>
          </w:p>
        </w:tc>
      </w:tr>
    </w:tbl>
    <w:p>
      <w:pPr>
        <w:spacing w:line="560" w:lineRule="exact"/>
        <w:ind w:firstLine="602" w:firstLineChars="200"/>
        <w:rPr>
          <w:rFonts w:ascii="宋体" w:hAnsi="宋体" w:cs="宋体"/>
          <w:b/>
          <w:bCs/>
          <w:color w:val="auto"/>
          <w:sz w:val="30"/>
          <w:szCs w:val="30"/>
        </w:rPr>
      </w:pPr>
      <w:r>
        <w:rPr>
          <w:rFonts w:hint="eastAsia" w:ascii="宋体" w:hAnsi="宋体" w:cs="宋体"/>
          <w:b/>
          <w:bCs/>
          <w:color w:val="auto"/>
          <w:sz w:val="30"/>
          <w:szCs w:val="30"/>
        </w:rPr>
        <w:t>2、项目建设过程及环保审批情况</w:t>
      </w:r>
    </w:p>
    <w:p>
      <w:pPr>
        <w:widowControl/>
        <w:tabs>
          <w:tab w:val="left" w:pos="1680"/>
        </w:tabs>
        <w:adjustRightInd w:val="0"/>
        <w:snapToGrid w:val="0"/>
        <w:spacing w:line="560" w:lineRule="exact"/>
        <w:ind w:firstLine="600" w:firstLineChars="200"/>
        <w:rPr>
          <w:rFonts w:ascii="宋体" w:hAnsi="宋体" w:cs="宋体"/>
          <w:color w:val="auto"/>
          <w:sz w:val="30"/>
          <w:szCs w:val="30"/>
        </w:rPr>
      </w:pPr>
      <w:r>
        <w:rPr>
          <w:rFonts w:hint="eastAsia" w:ascii="宋体" w:hAnsi="宋体" w:cs="宋体"/>
          <w:color w:val="auto"/>
          <w:sz w:val="30"/>
          <w:szCs w:val="30"/>
        </w:rPr>
        <w:t>2019年5月20日，长治高新区行政审批局对本项目予以备案，备案编号：2019-140471-33-03-008927。</w:t>
      </w:r>
    </w:p>
    <w:p>
      <w:pPr>
        <w:widowControl/>
        <w:tabs>
          <w:tab w:val="left" w:pos="1680"/>
        </w:tabs>
        <w:adjustRightInd w:val="0"/>
        <w:snapToGrid w:val="0"/>
        <w:spacing w:line="560" w:lineRule="exact"/>
        <w:ind w:firstLine="600" w:firstLineChars="200"/>
        <w:rPr>
          <w:rFonts w:ascii="宋体" w:hAnsi="宋体" w:cs="宋体"/>
          <w:color w:val="auto"/>
          <w:sz w:val="30"/>
          <w:szCs w:val="30"/>
        </w:rPr>
      </w:pPr>
      <w:r>
        <w:rPr>
          <w:rFonts w:hint="eastAsia" w:ascii="宋体" w:hAnsi="宋体" w:cs="宋体"/>
          <w:color w:val="auto"/>
          <w:sz w:val="30"/>
          <w:szCs w:val="30"/>
        </w:rPr>
        <w:t>2020年11月委托山西蓝朗环境科技有限公司编制了《山西绿建钢结构装配式制造产业及标准厂房建设项目环境影响报告表》。</w:t>
      </w:r>
    </w:p>
    <w:p>
      <w:pPr>
        <w:widowControl/>
        <w:tabs>
          <w:tab w:val="left" w:pos="1680"/>
        </w:tabs>
        <w:adjustRightInd w:val="0"/>
        <w:snapToGrid w:val="0"/>
        <w:spacing w:line="560" w:lineRule="exact"/>
        <w:ind w:firstLine="600" w:firstLineChars="200"/>
        <w:rPr>
          <w:rFonts w:ascii="宋体" w:hAnsi="宋体" w:cs="宋体"/>
          <w:color w:val="auto"/>
          <w:sz w:val="30"/>
          <w:szCs w:val="30"/>
        </w:rPr>
      </w:pPr>
      <w:r>
        <w:rPr>
          <w:rFonts w:hint="eastAsia" w:ascii="宋体" w:hAnsi="宋体" w:cs="宋体"/>
          <w:color w:val="auto"/>
          <w:sz w:val="30"/>
          <w:szCs w:val="30"/>
        </w:rPr>
        <w:t>2020年12月11日，长治高新区行政审批局出具了《关于山西绿建钢结构装配式制造产业及标准厂房建设项目环境影响报告表的批复》（长高行审函[2020]27号）。</w:t>
      </w:r>
    </w:p>
    <w:p>
      <w:pPr>
        <w:widowControl/>
        <w:tabs>
          <w:tab w:val="left" w:pos="1680"/>
        </w:tabs>
        <w:adjustRightInd w:val="0"/>
        <w:snapToGrid w:val="0"/>
        <w:spacing w:line="560" w:lineRule="exact"/>
        <w:ind w:firstLine="600" w:firstLineChars="200"/>
        <w:rPr>
          <w:rFonts w:hint="eastAsia" w:ascii="宋体" w:hAnsi="宋体" w:eastAsia="宋体" w:cs="宋体"/>
          <w:color w:val="auto"/>
          <w:sz w:val="30"/>
          <w:szCs w:val="30"/>
        </w:rPr>
      </w:pPr>
      <w:r>
        <w:rPr>
          <w:rFonts w:hint="default" w:ascii="宋体" w:hAnsi="宋体" w:eastAsia="宋体" w:cs="宋体"/>
          <w:color w:val="auto"/>
          <w:sz w:val="30"/>
          <w:szCs w:val="30"/>
          <w:lang w:val="en-US" w:eastAsia="zh-CN"/>
        </w:rPr>
        <w:t>2</w:t>
      </w:r>
      <w:r>
        <w:rPr>
          <w:rFonts w:hint="eastAsia" w:ascii="宋体" w:hAnsi="宋体" w:eastAsia="宋体" w:cs="宋体"/>
          <w:color w:val="auto"/>
          <w:sz w:val="30"/>
          <w:szCs w:val="30"/>
          <w:lang w:val="en-US" w:eastAsia="zh-CN"/>
        </w:rPr>
        <w:t>020</w:t>
      </w:r>
      <w:r>
        <w:rPr>
          <w:rFonts w:hint="default" w:ascii="宋体" w:hAnsi="宋体" w:eastAsia="宋体" w:cs="宋体"/>
          <w:color w:val="auto"/>
          <w:sz w:val="30"/>
          <w:szCs w:val="30"/>
          <w:lang w:val="en-US" w:eastAsia="zh-CN"/>
        </w:rPr>
        <w:t>年</w:t>
      </w:r>
      <w:r>
        <w:rPr>
          <w:rFonts w:hint="eastAsia" w:ascii="宋体" w:hAnsi="宋体" w:eastAsia="宋体" w:cs="宋体"/>
          <w:color w:val="auto"/>
          <w:sz w:val="30"/>
          <w:szCs w:val="30"/>
          <w:lang w:val="en-US" w:eastAsia="zh-CN"/>
        </w:rPr>
        <w:t>4</w:t>
      </w:r>
      <w:r>
        <w:rPr>
          <w:rFonts w:hint="default" w:ascii="宋体" w:hAnsi="宋体" w:eastAsia="宋体" w:cs="宋体"/>
          <w:color w:val="auto"/>
          <w:sz w:val="30"/>
          <w:szCs w:val="30"/>
          <w:lang w:val="en-US" w:eastAsia="zh-CN"/>
        </w:rPr>
        <w:t>月</w:t>
      </w:r>
      <w:r>
        <w:rPr>
          <w:rFonts w:hint="eastAsia" w:ascii="宋体" w:hAnsi="宋体" w:eastAsia="宋体" w:cs="宋体"/>
          <w:color w:val="auto"/>
          <w:sz w:val="30"/>
          <w:szCs w:val="30"/>
          <w:lang w:val="en-US" w:eastAsia="zh-CN"/>
        </w:rPr>
        <w:t>13</w:t>
      </w:r>
      <w:r>
        <w:rPr>
          <w:rFonts w:hint="default" w:ascii="宋体" w:hAnsi="宋体" w:eastAsia="宋体" w:cs="宋体"/>
          <w:color w:val="auto"/>
          <w:sz w:val="30"/>
          <w:szCs w:val="30"/>
          <w:lang w:val="en-US" w:eastAsia="zh-CN"/>
        </w:rPr>
        <w:t>日</w:t>
      </w:r>
      <w:r>
        <w:rPr>
          <w:rFonts w:hint="eastAsia" w:ascii="宋体" w:hAnsi="宋体" w:eastAsia="宋体" w:cs="宋体"/>
          <w:color w:val="auto"/>
          <w:sz w:val="30"/>
          <w:szCs w:val="30"/>
          <w:lang w:val="en-US" w:eastAsia="zh-CN"/>
        </w:rPr>
        <w:t>山西安得瑞防护设备有限公司</w:t>
      </w:r>
      <w:r>
        <w:rPr>
          <w:rFonts w:hint="default" w:ascii="宋体" w:hAnsi="宋体" w:eastAsia="宋体" w:cs="宋体"/>
          <w:color w:val="auto"/>
          <w:sz w:val="30"/>
          <w:szCs w:val="30"/>
          <w:lang w:val="en-US" w:eastAsia="zh-CN"/>
        </w:rPr>
        <w:t>获得了固定污染源排污登记回执</w:t>
      </w:r>
      <w:r>
        <w:rPr>
          <w:rFonts w:hint="eastAsia" w:ascii="宋体" w:hAnsi="宋体" w:eastAsia="宋体" w:cs="宋体"/>
          <w:color w:val="auto"/>
          <w:sz w:val="30"/>
          <w:szCs w:val="30"/>
          <w:lang w:val="en-US" w:eastAsia="zh-CN"/>
        </w:rPr>
        <w:t>，</w:t>
      </w:r>
      <w:r>
        <w:rPr>
          <w:rFonts w:hint="default" w:ascii="宋体" w:hAnsi="宋体" w:eastAsia="宋体" w:cs="宋体"/>
          <w:color w:val="auto"/>
          <w:sz w:val="30"/>
          <w:szCs w:val="30"/>
          <w:lang w:val="en-US" w:eastAsia="zh-CN"/>
        </w:rPr>
        <w:t>2</w:t>
      </w:r>
      <w:r>
        <w:rPr>
          <w:rFonts w:hint="eastAsia" w:ascii="宋体" w:hAnsi="宋体" w:eastAsia="宋体" w:cs="宋体"/>
          <w:color w:val="auto"/>
          <w:sz w:val="30"/>
          <w:szCs w:val="30"/>
          <w:lang w:val="en-US" w:eastAsia="zh-CN"/>
        </w:rPr>
        <w:t>022</w:t>
      </w:r>
      <w:r>
        <w:rPr>
          <w:rFonts w:hint="default" w:ascii="宋体" w:hAnsi="宋体" w:eastAsia="宋体" w:cs="宋体"/>
          <w:color w:val="auto"/>
          <w:sz w:val="30"/>
          <w:szCs w:val="30"/>
          <w:lang w:val="en-US" w:eastAsia="zh-CN"/>
        </w:rPr>
        <w:t>年</w:t>
      </w:r>
      <w:r>
        <w:rPr>
          <w:rFonts w:hint="eastAsia" w:ascii="宋体" w:hAnsi="宋体" w:eastAsia="宋体" w:cs="宋体"/>
          <w:color w:val="auto"/>
          <w:sz w:val="30"/>
          <w:szCs w:val="30"/>
          <w:lang w:val="en-US" w:eastAsia="zh-CN"/>
        </w:rPr>
        <w:t>6</w:t>
      </w:r>
      <w:r>
        <w:rPr>
          <w:rFonts w:hint="default" w:ascii="宋体" w:hAnsi="宋体" w:eastAsia="宋体" w:cs="宋体"/>
          <w:color w:val="auto"/>
          <w:sz w:val="30"/>
          <w:szCs w:val="30"/>
          <w:lang w:val="en-US" w:eastAsia="zh-CN"/>
        </w:rPr>
        <w:t>月</w:t>
      </w:r>
      <w:r>
        <w:rPr>
          <w:rFonts w:hint="eastAsia" w:ascii="宋体" w:hAnsi="宋体" w:eastAsia="宋体" w:cs="宋体"/>
          <w:color w:val="auto"/>
          <w:sz w:val="30"/>
          <w:szCs w:val="30"/>
          <w:lang w:val="en-US" w:eastAsia="zh-CN"/>
        </w:rPr>
        <w:t>25</w:t>
      </w:r>
      <w:r>
        <w:rPr>
          <w:rFonts w:hint="default" w:ascii="宋体" w:hAnsi="宋体" w:eastAsia="宋体" w:cs="宋体"/>
          <w:color w:val="auto"/>
          <w:sz w:val="30"/>
          <w:szCs w:val="30"/>
          <w:lang w:val="en-US" w:eastAsia="zh-CN"/>
        </w:rPr>
        <w:t>日</w:t>
      </w:r>
      <w:r>
        <w:rPr>
          <w:rFonts w:hint="eastAsia" w:ascii="宋体" w:hAnsi="宋体" w:eastAsia="宋体" w:cs="宋体"/>
          <w:color w:val="auto"/>
          <w:sz w:val="30"/>
          <w:szCs w:val="30"/>
          <w:lang w:val="en-US" w:eastAsia="zh-CN"/>
        </w:rPr>
        <w:t>及2023年12月15日变更排污许可证</w:t>
      </w:r>
      <w:r>
        <w:rPr>
          <w:rFonts w:hint="default" w:ascii="宋体" w:hAnsi="宋体" w:eastAsia="宋体" w:cs="宋体"/>
          <w:color w:val="auto"/>
          <w:sz w:val="30"/>
          <w:szCs w:val="30"/>
          <w:lang w:val="en-US" w:eastAsia="zh-CN"/>
        </w:rPr>
        <w:t>（登记编号：91140400051991203Q001W，有效期限为</w:t>
      </w:r>
      <w:r>
        <w:rPr>
          <w:rFonts w:hint="eastAsia" w:ascii="宋体" w:hAnsi="宋体" w:eastAsia="宋体" w:cs="宋体"/>
          <w:color w:val="auto"/>
          <w:sz w:val="30"/>
          <w:szCs w:val="30"/>
          <w:lang w:val="en-US" w:eastAsia="zh-CN"/>
        </w:rPr>
        <w:t>2023</w:t>
      </w:r>
      <w:r>
        <w:rPr>
          <w:rFonts w:hint="default" w:ascii="宋体" w:hAnsi="宋体" w:eastAsia="宋体" w:cs="宋体"/>
          <w:color w:val="auto"/>
          <w:sz w:val="30"/>
          <w:szCs w:val="30"/>
          <w:lang w:val="en-US" w:eastAsia="zh-CN"/>
        </w:rPr>
        <w:t>年</w:t>
      </w:r>
      <w:r>
        <w:rPr>
          <w:rFonts w:hint="eastAsia" w:ascii="宋体" w:hAnsi="宋体" w:eastAsia="宋体" w:cs="宋体"/>
          <w:color w:val="auto"/>
          <w:sz w:val="30"/>
          <w:szCs w:val="30"/>
          <w:lang w:val="en-US" w:eastAsia="zh-CN"/>
        </w:rPr>
        <w:t>12</w:t>
      </w:r>
      <w:r>
        <w:rPr>
          <w:rFonts w:hint="default" w:ascii="宋体" w:hAnsi="宋体" w:eastAsia="宋体" w:cs="宋体"/>
          <w:color w:val="auto"/>
          <w:sz w:val="30"/>
          <w:szCs w:val="30"/>
          <w:lang w:val="en-US" w:eastAsia="zh-CN"/>
        </w:rPr>
        <w:t>月</w:t>
      </w:r>
      <w:r>
        <w:rPr>
          <w:rFonts w:hint="eastAsia" w:ascii="宋体" w:hAnsi="宋体" w:eastAsia="宋体" w:cs="宋体"/>
          <w:color w:val="auto"/>
          <w:sz w:val="30"/>
          <w:szCs w:val="30"/>
          <w:lang w:val="en-US" w:eastAsia="zh-CN"/>
        </w:rPr>
        <w:t>15</w:t>
      </w:r>
      <w:r>
        <w:rPr>
          <w:rFonts w:hint="default" w:ascii="宋体" w:hAnsi="宋体" w:eastAsia="宋体" w:cs="宋体"/>
          <w:color w:val="auto"/>
          <w:sz w:val="30"/>
          <w:szCs w:val="30"/>
          <w:lang w:val="en-US" w:eastAsia="zh-CN"/>
        </w:rPr>
        <w:t>日</w:t>
      </w:r>
      <w:r>
        <w:rPr>
          <w:rFonts w:hint="eastAsia" w:ascii="宋体" w:hAnsi="宋体" w:eastAsia="宋体" w:cs="宋体"/>
          <w:color w:val="auto"/>
          <w:sz w:val="30"/>
          <w:szCs w:val="30"/>
          <w:lang w:val="en-US" w:eastAsia="zh-CN"/>
        </w:rPr>
        <w:t>至2028年12月14日</w:t>
      </w:r>
      <w:r>
        <w:rPr>
          <w:rFonts w:hint="default" w:ascii="宋体" w:hAnsi="宋体" w:eastAsia="宋体" w:cs="宋体"/>
          <w:color w:val="auto"/>
          <w:sz w:val="30"/>
          <w:szCs w:val="30"/>
          <w:lang w:val="en-US" w:eastAsia="zh-CN"/>
        </w:rPr>
        <w:t>）</w:t>
      </w:r>
      <w:r>
        <w:rPr>
          <w:rFonts w:hint="eastAsia" w:ascii="宋体" w:hAnsi="宋体" w:eastAsia="宋体" w:cs="宋体"/>
          <w:color w:val="auto"/>
          <w:sz w:val="30"/>
          <w:szCs w:val="30"/>
        </w:rPr>
        <w:t>。</w:t>
      </w:r>
    </w:p>
    <w:p>
      <w:pPr>
        <w:widowControl/>
        <w:tabs>
          <w:tab w:val="left" w:pos="1680"/>
        </w:tabs>
        <w:adjustRightInd w:val="0"/>
        <w:snapToGrid w:val="0"/>
        <w:spacing w:line="560" w:lineRule="exact"/>
        <w:ind w:firstLine="600" w:firstLineChars="200"/>
        <w:rPr>
          <w:rFonts w:ascii="宋体" w:hAnsi="宋体" w:cs="宋体"/>
          <w:color w:val="auto"/>
          <w:sz w:val="30"/>
          <w:szCs w:val="30"/>
        </w:rPr>
      </w:pPr>
      <w:r>
        <w:rPr>
          <w:rFonts w:hint="eastAsia" w:ascii="宋体" w:hAnsi="宋体" w:eastAsia="宋体" w:cs="宋体"/>
          <w:color w:val="auto"/>
          <w:sz w:val="30"/>
          <w:szCs w:val="30"/>
          <w:lang w:val="en-US" w:eastAsia="zh-CN"/>
        </w:rPr>
        <w:t>2022年8月</w:t>
      </w:r>
      <w:r>
        <w:rPr>
          <w:rFonts w:hint="eastAsia" w:ascii="宋体" w:hAnsi="宋体" w:eastAsia="宋体" w:cs="宋体"/>
          <w:color w:val="auto"/>
          <w:sz w:val="30"/>
          <w:szCs w:val="30"/>
        </w:rPr>
        <w:t>，</w:t>
      </w:r>
      <w:r>
        <w:rPr>
          <w:rFonts w:hint="eastAsia" w:ascii="宋体" w:hAnsi="宋体" w:cs="宋体"/>
          <w:color w:val="auto"/>
          <w:sz w:val="30"/>
          <w:szCs w:val="30"/>
        </w:rPr>
        <w:t>山西安得瑞防护设备有限公司组织相关环保专家，对本项目进行了阶段性竣工环境保护验收，验收范围为年产2000套钢结构防护密闭门（不含喷漆）、3000套钢筋混凝土防护密闭门（不含喷漆）、2000套钢结构密闭门（不含喷漆、2000套钢筋混凝土密闭门（不含喷漆）、10000套通风风管（不含喷漆）切割、剪断、下料，焊接以及机加装配设备和工程内容。</w:t>
      </w:r>
    </w:p>
    <w:p>
      <w:pPr>
        <w:widowControl/>
        <w:tabs>
          <w:tab w:val="left" w:pos="1680"/>
        </w:tabs>
        <w:adjustRightInd w:val="0"/>
        <w:snapToGrid w:val="0"/>
        <w:spacing w:line="560" w:lineRule="exact"/>
        <w:ind w:firstLine="600" w:firstLineChars="200"/>
        <w:rPr>
          <w:rFonts w:ascii="宋体" w:hAnsi="宋体" w:cs="宋体"/>
          <w:color w:val="auto"/>
          <w:sz w:val="30"/>
          <w:szCs w:val="30"/>
        </w:rPr>
      </w:pPr>
      <w:r>
        <w:rPr>
          <w:rFonts w:ascii="宋体" w:hAnsi="宋体" w:cs="宋体"/>
          <w:color w:val="auto"/>
          <w:sz w:val="30"/>
          <w:szCs w:val="30"/>
        </w:rPr>
        <w:t>本项目</w:t>
      </w:r>
      <w:r>
        <w:rPr>
          <w:rFonts w:hint="eastAsia" w:ascii="宋体" w:hAnsi="宋体" w:cs="宋体"/>
          <w:color w:val="auto"/>
          <w:sz w:val="30"/>
          <w:szCs w:val="30"/>
        </w:rPr>
        <w:t>2023年8月开工建设，2023年9月建设完成，2023年11月17日开始调试，项目从立项至调试过程中无环境投诉、违法或处罚记录等。</w:t>
      </w:r>
    </w:p>
    <w:p>
      <w:pPr>
        <w:pStyle w:val="15"/>
        <w:spacing w:before="78" w:line="560" w:lineRule="exact"/>
        <w:ind w:left="602" w:firstLine="0" w:firstLineChars="0"/>
        <w:jc w:val="left"/>
        <w:rPr>
          <w:rFonts w:ascii="宋体"/>
          <w:b/>
          <w:bCs w:val="0"/>
          <w:color w:val="auto"/>
          <w:sz w:val="30"/>
          <w:szCs w:val="30"/>
        </w:rPr>
      </w:pPr>
      <w:r>
        <w:rPr>
          <w:rFonts w:hint="eastAsia" w:ascii="宋体"/>
          <w:b/>
          <w:bCs w:val="0"/>
          <w:color w:val="auto"/>
          <w:sz w:val="30"/>
          <w:szCs w:val="30"/>
        </w:rPr>
        <w:t>3、投资情况</w:t>
      </w:r>
    </w:p>
    <w:p>
      <w:pPr>
        <w:pStyle w:val="14"/>
        <w:spacing w:line="560" w:lineRule="exact"/>
        <w:ind w:left="108" w:firstLine="600"/>
        <w:rPr>
          <w:rFonts w:ascii="宋体" w:hAnsi="宋体" w:cs="宋体"/>
          <w:b/>
          <w:bCs/>
          <w:color w:val="auto"/>
          <w:kern w:val="0"/>
          <w:sz w:val="30"/>
          <w:szCs w:val="30"/>
        </w:rPr>
      </w:pPr>
      <w:r>
        <w:rPr>
          <w:rFonts w:hint="eastAsia" w:ascii="宋体" w:hAnsi="宋体" w:cs="宋体"/>
          <w:color w:val="auto"/>
          <w:kern w:val="0"/>
          <w:sz w:val="30"/>
          <w:szCs w:val="30"/>
        </w:rPr>
        <w:t>该项目总投资500万元，其中环保投资为15万元，占总投资的3%。</w:t>
      </w:r>
    </w:p>
    <w:p>
      <w:pPr>
        <w:pStyle w:val="17"/>
        <w:spacing w:line="560" w:lineRule="exact"/>
        <w:ind w:firstLine="602" w:firstLineChars="200"/>
        <w:rPr>
          <w:rFonts w:hAnsi="宋体"/>
          <w:b/>
          <w:bCs/>
          <w:color w:val="auto"/>
          <w:sz w:val="30"/>
          <w:szCs w:val="30"/>
        </w:rPr>
      </w:pPr>
      <w:r>
        <w:rPr>
          <w:rFonts w:hint="eastAsia" w:hAnsi="宋体"/>
          <w:b/>
          <w:bCs/>
          <w:color w:val="auto"/>
          <w:sz w:val="30"/>
          <w:szCs w:val="30"/>
        </w:rPr>
        <w:t>4、验收范围</w:t>
      </w:r>
    </w:p>
    <w:p>
      <w:pPr>
        <w:spacing w:line="560" w:lineRule="exact"/>
        <w:ind w:firstLine="600" w:firstLineChars="200"/>
        <w:rPr>
          <w:rFonts w:ascii="宋体" w:hAnsi="宋体" w:cs="宋体"/>
          <w:color w:val="auto"/>
          <w:kern w:val="0"/>
          <w:sz w:val="30"/>
          <w:szCs w:val="30"/>
        </w:rPr>
      </w:pPr>
      <w:r>
        <w:rPr>
          <w:rFonts w:hint="eastAsia" w:ascii="宋体" w:hAnsi="宋体" w:cs="宋体"/>
          <w:color w:val="auto"/>
          <w:kern w:val="0"/>
          <w:sz w:val="30"/>
          <w:szCs w:val="30"/>
        </w:rPr>
        <w:t>本次验收范围为山西绿建钢结构装配式制造产业及标准厂房建设项目余下其他设备及工程内容。</w:t>
      </w:r>
    </w:p>
    <w:p>
      <w:pPr>
        <w:spacing w:line="560" w:lineRule="exact"/>
        <w:ind w:firstLine="602" w:firstLineChars="200"/>
        <w:jc w:val="left"/>
        <w:rPr>
          <w:rFonts w:ascii="宋体" w:hAnsi="宋体" w:cs="宋体"/>
          <w:b/>
          <w:bCs/>
          <w:color w:val="auto"/>
          <w:kern w:val="0"/>
          <w:sz w:val="30"/>
          <w:szCs w:val="30"/>
        </w:rPr>
      </w:pPr>
      <w:r>
        <w:rPr>
          <w:rFonts w:hint="eastAsia" w:ascii="宋体" w:hAnsi="宋体" w:cs="宋体"/>
          <w:b/>
          <w:bCs/>
          <w:color w:val="auto"/>
          <w:kern w:val="0"/>
          <w:sz w:val="30"/>
          <w:szCs w:val="30"/>
        </w:rPr>
        <w:t>二、项目建设变动情况</w:t>
      </w:r>
    </w:p>
    <w:p>
      <w:pPr>
        <w:pStyle w:val="17"/>
        <w:spacing w:line="560" w:lineRule="exact"/>
        <w:ind w:firstLine="600" w:firstLineChars="200"/>
        <w:jc w:val="both"/>
        <w:rPr>
          <w:rFonts w:hAnsi="宋体"/>
          <w:color w:val="auto"/>
          <w:sz w:val="30"/>
          <w:szCs w:val="30"/>
        </w:rPr>
      </w:pPr>
      <w:r>
        <w:rPr>
          <w:rFonts w:hint="eastAsia" w:hAnsi="宋体"/>
          <w:color w:val="auto"/>
          <w:sz w:val="30"/>
          <w:szCs w:val="30"/>
        </w:rPr>
        <w:t>根据现场核查，项目建设内容变动情况见表2，对照生态环境部办公厅《关于印发污染影响类建设项目重大变动清单（试行）的通知》（环办环评函〔2020〕688号）文件要求，本项目无重大变动。</w:t>
      </w:r>
    </w:p>
    <w:p>
      <w:pPr>
        <w:pStyle w:val="15"/>
        <w:spacing w:before="78" w:line="240" w:lineRule="auto"/>
        <w:ind w:firstLine="0" w:firstLineChars="0"/>
        <w:rPr>
          <w:color w:val="auto"/>
          <w:sz w:val="28"/>
          <w:szCs w:val="28"/>
        </w:rPr>
      </w:pPr>
      <w:r>
        <w:rPr>
          <w:rFonts w:hint="eastAsia"/>
          <w:color w:val="auto"/>
          <w:sz w:val="28"/>
          <w:szCs w:val="28"/>
        </w:rPr>
        <w:t>表</w:t>
      </w:r>
      <w:r>
        <w:rPr>
          <w:color w:val="auto"/>
          <w:sz w:val="28"/>
          <w:szCs w:val="28"/>
        </w:rPr>
        <w:t xml:space="preserve">2  </w:t>
      </w:r>
      <w:r>
        <w:rPr>
          <w:rFonts w:hint="eastAsia"/>
          <w:color w:val="auto"/>
          <w:sz w:val="28"/>
          <w:szCs w:val="28"/>
        </w:rPr>
        <w:t>项目建设过程中变动情况</w:t>
      </w:r>
    </w:p>
    <w:tbl>
      <w:tblPr>
        <w:tblStyle w:val="9"/>
        <w:tblW w:w="52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51"/>
        <w:gridCol w:w="3902"/>
        <w:gridCol w:w="381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8" w:hRule="atLeast"/>
          <w:jc w:val="center"/>
        </w:trPr>
        <w:tc>
          <w:tcPr>
            <w:tcW w:w="1152" w:type="dxa"/>
            <w:vAlign w:val="center"/>
          </w:tcPr>
          <w:p>
            <w:pPr>
              <w:pStyle w:val="27"/>
              <w:spacing w:line="240" w:lineRule="auto"/>
              <w:rPr>
                <w:color w:val="auto"/>
                <w:sz w:val="21"/>
                <w:szCs w:val="21"/>
              </w:rPr>
            </w:pPr>
            <w:r>
              <w:rPr>
                <w:color w:val="auto"/>
                <w:sz w:val="21"/>
                <w:szCs w:val="21"/>
              </w:rPr>
              <w:t>名称</w:t>
            </w:r>
          </w:p>
        </w:tc>
        <w:tc>
          <w:tcPr>
            <w:tcW w:w="3902" w:type="dxa"/>
            <w:vAlign w:val="center"/>
          </w:tcPr>
          <w:p>
            <w:pPr>
              <w:pStyle w:val="27"/>
              <w:spacing w:line="240" w:lineRule="auto"/>
              <w:rPr>
                <w:color w:val="auto"/>
                <w:sz w:val="21"/>
                <w:szCs w:val="21"/>
              </w:rPr>
            </w:pPr>
            <w:r>
              <w:rPr>
                <w:color w:val="auto"/>
                <w:sz w:val="21"/>
                <w:szCs w:val="21"/>
              </w:rPr>
              <w:t>建设内容</w:t>
            </w:r>
          </w:p>
        </w:tc>
        <w:tc>
          <w:tcPr>
            <w:tcW w:w="3810" w:type="dxa"/>
            <w:vAlign w:val="center"/>
          </w:tcPr>
          <w:p>
            <w:pPr>
              <w:pStyle w:val="27"/>
              <w:spacing w:line="240" w:lineRule="auto"/>
              <w:rPr>
                <w:color w:val="auto"/>
                <w:sz w:val="21"/>
                <w:szCs w:val="21"/>
              </w:rPr>
            </w:pPr>
            <w:r>
              <w:rPr>
                <w:color w:val="auto"/>
                <w:sz w:val="21"/>
                <w:szCs w:val="21"/>
              </w:rPr>
              <w:t>建设完成情况</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3" w:hRule="atLeast"/>
          <w:jc w:val="center"/>
        </w:trPr>
        <w:tc>
          <w:tcPr>
            <w:tcW w:w="1152" w:type="dxa"/>
            <w:vAlign w:val="center"/>
          </w:tcPr>
          <w:p>
            <w:pPr>
              <w:jc w:val="center"/>
              <w:rPr>
                <w:rFonts w:ascii="Times New Roman" w:hAnsi="Times New Roman"/>
                <w:color w:val="auto"/>
                <w:szCs w:val="21"/>
              </w:rPr>
            </w:pPr>
            <w:r>
              <w:rPr>
                <w:rFonts w:hint="eastAsia" w:ascii="Times New Roman" w:hAnsi="Times New Roman"/>
                <w:color w:val="auto"/>
                <w:szCs w:val="21"/>
              </w:rPr>
              <w:t>1#厂房</w:t>
            </w:r>
          </w:p>
        </w:tc>
        <w:tc>
          <w:tcPr>
            <w:tcW w:w="3902" w:type="dxa"/>
            <w:vAlign w:val="center"/>
          </w:tcPr>
          <w:p>
            <w:pPr>
              <w:jc w:val="center"/>
              <w:rPr>
                <w:rFonts w:ascii="Times New Roman" w:hAnsi="Times New Roman"/>
                <w:color w:val="auto"/>
                <w:szCs w:val="21"/>
              </w:rPr>
            </w:pPr>
            <w:r>
              <w:rPr>
                <w:rFonts w:hint="eastAsia" w:ascii="Times New Roman" w:hAnsi="Times New Roman"/>
                <w:color w:val="auto"/>
                <w:szCs w:val="21"/>
              </w:rPr>
              <w:t>钢结构厂房，设置混凝土搅拌区、焊接区、喷漆房和成品堆放区；地面硬化，1层，建筑面积4892.14m</w:t>
            </w:r>
            <w:r>
              <w:rPr>
                <w:rFonts w:hint="eastAsia" w:ascii="Times New Roman" w:hAnsi="Times New Roman"/>
                <w:color w:val="auto"/>
                <w:szCs w:val="21"/>
                <w:vertAlign w:val="superscript"/>
              </w:rPr>
              <w:t>2</w:t>
            </w:r>
          </w:p>
        </w:tc>
        <w:tc>
          <w:tcPr>
            <w:tcW w:w="3810" w:type="dxa"/>
            <w:vAlign w:val="center"/>
          </w:tcPr>
          <w:p>
            <w:pPr>
              <w:jc w:val="center"/>
              <w:rPr>
                <w:rFonts w:hint="eastAsia" w:ascii="Times New Roman" w:hAnsi="Times New Roman" w:eastAsia="宋体"/>
                <w:color w:val="auto"/>
                <w:szCs w:val="21"/>
                <w:lang w:eastAsia="zh-CN"/>
              </w:rPr>
            </w:pPr>
            <w:r>
              <w:rPr>
                <w:rFonts w:hint="eastAsia" w:ascii="Times New Roman" w:hAnsi="Times New Roman"/>
                <w:color w:val="auto"/>
                <w:szCs w:val="21"/>
              </w:rPr>
              <w:t>厂房</w:t>
            </w:r>
            <w:r>
              <w:rPr>
                <w:rFonts w:hint="eastAsia" w:ascii="Times New Roman" w:hAnsi="Times New Roman"/>
                <w:color w:val="auto"/>
                <w:szCs w:val="21"/>
                <w:lang w:eastAsia="zh-CN"/>
              </w:rPr>
              <w:t>已</w:t>
            </w:r>
            <w:r>
              <w:rPr>
                <w:rFonts w:hint="eastAsia" w:ascii="Times New Roman" w:hAnsi="Times New Roman"/>
                <w:color w:val="auto"/>
                <w:szCs w:val="21"/>
              </w:rPr>
              <w:t>租赁</w:t>
            </w:r>
            <w:r>
              <w:rPr>
                <w:rFonts w:hint="eastAsia" w:ascii="Times New Roman" w:hAnsi="Times New Roman"/>
                <w:color w:val="auto"/>
                <w:szCs w:val="21"/>
                <w:lang w:eastAsia="zh-CN"/>
              </w:rPr>
              <w:t>给</w:t>
            </w:r>
            <w:r>
              <w:rPr>
                <w:rFonts w:hint="eastAsia" w:ascii="Times New Roman" w:hAnsi="Times New Roman"/>
                <w:color w:val="auto"/>
                <w:szCs w:val="21"/>
              </w:rPr>
              <w:t>山西晋冀联合再生资源有限公司，已通过环保验收。采用外购混凝土经罐车拉至厂内，混凝土搅拌生产线不再建设，焊接区及喷漆房移至2#厂房内，成品堆放区位于1#</w:t>
            </w:r>
            <w:r>
              <w:rPr>
                <w:rFonts w:hint="eastAsia" w:ascii="Times New Roman" w:hAnsi="Times New Roman" w:eastAsia="宋体" w:cs="Times New Roman"/>
                <w:color w:val="auto"/>
                <w:szCs w:val="21"/>
              </w:rPr>
              <w:t>与2#厂房之间</w:t>
            </w:r>
            <w:r>
              <w:rPr>
                <w:rFonts w:hint="eastAsia" w:ascii="Times New Roman" w:hAnsi="Times New Roman" w:eastAsia="宋体" w:cs="Times New Roman"/>
                <w:color w:val="auto"/>
                <w:szCs w:val="21"/>
                <w:lang w:eastAsia="zh-CN"/>
              </w:rPr>
              <w:t>，</w:t>
            </w:r>
            <w:r>
              <w:rPr>
                <w:rFonts w:hint="eastAsia" w:ascii="Times New Roman" w:hAnsi="Times New Roman" w:eastAsia="宋体" w:cs="Times New Roman"/>
                <w:color w:val="auto"/>
                <w:szCs w:val="21"/>
                <w:lang w:val="en-US" w:eastAsia="zh-CN"/>
              </w:rPr>
              <w:t>焊接区于2022年8月已验收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152" w:type="dxa"/>
            <w:vAlign w:val="center"/>
          </w:tcPr>
          <w:p>
            <w:pPr>
              <w:jc w:val="center"/>
              <w:rPr>
                <w:rFonts w:ascii="Times New Roman" w:hAnsi="Times New Roman"/>
                <w:color w:val="auto"/>
                <w:szCs w:val="21"/>
              </w:rPr>
            </w:pPr>
            <w:r>
              <w:rPr>
                <w:rFonts w:hint="eastAsia"/>
                <w:color w:val="auto"/>
                <w:szCs w:val="21"/>
              </w:rPr>
              <w:t>食堂</w:t>
            </w:r>
          </w:p>
        </w:tc>
        <w:tc>
          <w:tcPr>
            <w:tcW w:w="3902" w:type="dxa"/>
            <w:vAlign w:val="center"/>
          </w:tcPr>
          <w:p>
            <w:pPr>
              <w:jc w:val="center"/>
              <w:rPr>
                <w:rFonts w:ascii="Times New Roman" w:hAnsi="Times New Roman"/>
                <w:color w:val="auto"/>
                <w:szCs w:val="21"/>
              </w:rPr>
            </w:pPr>
            <w:r>
              <w:rPr>
                <w:rFonts w:hint="eastAsia"/>
                <w:color w:val="auto"/>
                <w:szCs w:val="21"/>
              </w:rPr>
              <w:t>2层，建筑面积1346.10m</w:t>
            </w:r>
            <w:r>
              <w:rPr>
                <w:rFonts w:hint="eastAsia"/>
                <w:color w:val="auto"/>
                <w:szCs w:val="21"/>
                <w:vertAlign w:val="superscript"/>
              </w:rPr>
              <w:t>2</w:t>
            </w:r>
          </w:p>
        </w:tc>
        <w:tc>
          <w:tcPr>
            <w:tcW w:w="3810" w:type="dxa"/>
            <w:vAlign w:val="center"/>
          </w:tcPr>
          <w:p>
            <w:pPr>
              <w:jc w:val="center"/>
              <w:rPr>
                <w:color w:val="auto"/>
                <w:szCs w:val="21"/>
              </w:rPr>
            </w:pPr>
            <w:r>
              <w:rPr>
                <w:rFonts w:hint="eastAsia"/>
                <w:color w:val="auto"/>
                <w:szCs w:val="21"/>
              </w:rPr>
              <w:t>主体设施已建成，变更为多功能会议室</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94" w:hRule="atLeast"/>
          <w:jc w:val="center"/>
        </w:trPr>
        <w:tc>
          <w:tcPr>
            <w:tcW w:w="1152" w:type="dxa"/>
            <w:vAlign w:val="center"/>
          </w:tcPr>
          <w:p>
            <w:pPr>
              <w:jc w:val="center"/>
              <w:rPr>
                <w:rFonts w:ascii="Times New Roman" w:hAnsi="Times New Roman"/>
                <w:color w:val="auto"/>
                <w:szCs w:val="21"/>
              </w:rPr>
            </w:pPr>
            <w:r>
              <w:rPr>
                <w:rFonts w:hint="eastAsia"/>
                <w:color w:val="auto"/>
                <w:szCs w:val="21"/>
              </w:rPr>
              <w:t>物料储存</w:t>
            </w:r>
          </w:p>
        </w:tc>
        <w:tc>
          <w:tcPr>
            <w:tcW w:w="3902" w:type="dxa"/>
            <w:vAlign w:val="center"/>
          </w:tcPr>
          <w:p>
            <w:pPr>
              <w:jc w:val="center"/>
              <w:rPr>
                <w:rFonts w:ascii="Times New Roman" w:hAnsi="Times New Roman"/>
                <w:color w:val="auto"/>
                <w:szCs w:val="21"/>
              </w:rPr>
            </w:pPr>
            <w:r>
              <w:rPr>
                <w:rFonts w:hint="eastAsia"/>
                <w:color w:val="auto"/>
                <w:szCs w:val="21"/>
              </w:rPr>
              <w:t>1#厂房东北角设置原料砂石堆放库，原料库全密闭；设一座水泥筒仓，仓顶安装脉冲布袋除尘器</w:t>
            </w:r>
          </w:p>
        </w:tc>
        <w:tc>
          <w:tcPr>
            <w:tcW w:w="3810" w:type="dxa"/>
            <w:vAlign w:val="center"/>
          </w:tcPr>
          <w:p>
            <w:pPr>
              <w:jc w:val="center"/>
              <w:rPr>
                <w:color w:val="auto"/>
                <w:szCs w:val="21"/>
              </w:rPr>
            </w:pPr>
            <w:r>
              <w:rPr>
                <w:rFonts w:hint="eastAsia" w:ascii="Times New Roman" w:hAnsi="Times New Roman"/>
                <w:color w:val="auto"/>
                <w:szCs w:val="21"/>
              </w:rPr>
              <w:t>未建，采用外购混凝土经罐车拉至厂内，混凝土搅拌生产线不再建设</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94" w:hRule="atLeast"/>
          <w:jc w:val="center"/>
        </w:trPr>
        <w:tc>
          <w:tcPr>
            <w:tcW w:w="1152" w:type="dxa"/>
            <w:vAlign w:val="center"/>
          </w:tcPr>
          <w:p>
            <w:pPr>
              <w:jc w:val="center"/>
              <w:rPr>
                <w:rFonts w:ascii="Times New Roman" w:hAnsi="Times New Roman"/>
                <w:color w:val="auto"/>
                <w:szCs w:val="21"/>
              </w:rPr>
            </w:pPr>
            <w:r>
              <w:rPr>
                <w:rFonts w:hint="eastAsia"/>
                <w:color w:val="auto"/>
                <w:szCs w:val="21"/>
              </w:rPr>
              <w:t>混凝土搅拌粉尘</w:t>
            </w:r>
          </w:p>
        </w:tc>
        <w:tc>
          <w:tcPr>
            <w:tcW w:w="3902" w:type="dxa"/>
            <w:vAlign w:val="center"/>
          </w:tcPr>
          <w:p>
            <w:pPr>
              <w:jc w:val="center"/>
              <w:rPr>
                <w:rFonts w:ascii="Times New Roman" w:hAnsi="Times New Roman"/>
                <w:color w:val="auto"/>
                <w:szCs w:val="21"/>
              </w:rPr>
            </w:pPr>
            <w:r>
              <w:rPr>
                <w:rFonts w:hint="eastAsia"/>
                <w:color w:val="auto"/>
                <w:szCs w:val="21"/>
              </w:rPr>
              <w:t>搅拌区设带有配比装置的搅拌机一套，安装集尘罩经布袋除尘器处理后与筒仓废气一同经15m排气筒排放</w:t>
            </w:r>
          </w:p>
        </w:tc>
        <w:tc>
          <w:tcPr>
            <w:tcW w:w="3810" w:type="dxa"/>
            <w:vAlign w:val="center"/>
          </w:tcPr>
          <w:p>
            <w:pPr>
              <w:jc w:val="center"/>
              <w:rPr>
                <w:color w:val="auto"/>
                <w:szCs w:val="21"/>
              </w:rPr>
            </w:pPr>
            <w:r>
              <w:rPr>
                <w:rFonts w:hint="eastAsia" w:ascii="Times New Roman" w:hAnsi="Times New Roman"/>
                <w:color w:val="auto"/>
                <w:szCs w:val="21"/>
              </w:rPr>
              <w:t>未建，采用外购混凝土经罐车拉至厂内，混凝土搅拌生产线不再建设</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152" w:type="dxa"/>
            <w:vAlign w:val="center"/>
          </w:tcPr>
          <w:p>
            <w:pPr>
              <w:jc w:val="center"/>
              <w:rPr>
                <w:rFonts w:ascii="Times New Roman" w:hAnsi="Times New Roman"/>
                <w:color w:val="auto"/>
                <w:szCs w:val="21"/>
              </w:rPr>
            </w:pPr>
            <w:r>
              <w:rPr>
                <w:rFonts w:hint="eastAsia"/>
                <w:color w:val="auto"/>
                <w:szCs w:val="21"/>
              </w:rPr>
              <w:t>打磨粉尘</w:t>
            </w:r>
          </w:p>
        </w:tc>
        <w:tc>
          <w:tcPr>
            <w:tcW w:w="3902" w:type="dxa"/>
            <w:vAlign w:val="center"/>
          </w:tcPr>
          <w:p>
            <w:pPr>
              <w:jc w:val="center"/>
              <w:rPr>
                <w:color w:val="auto"/>
                <w:szCs w:val="21"/>
              </w:rPr>
            </w:pPr>
            <w:r>
              <w:rPr>
                <w:rFonts w:hint="eastAsia"/>
                <w:color w:val="auto"/>
                <w:szCs w:val="21"/>
              </w:rPr>
              <w:t>抛丸机粉尘由自带除尘器处理后同焊接共用一个排气筒排放</w:t>
            </w:r>
          </w:p>
        </w:tc>
        <w:tc>
          <w:tcPr>
            <w:tcW w:w="3810" w:type="dxa"/>
            <w:vAlign w:val="center"/>
          </w:tcPr>
          <w:p>
            <w:pPr>
              <w:jc w:val="center"/>
              <w:rPr>
                <w:color w:val="auto"/>
                <w:szCs w:val="21"/>
              </w:rPr>
            </w:pPr>
            <w:r>
              <w:rPr>
                <w:rFonts w:hint="eastAsia"/>
                <w:color w:val="auto"/>
                <w:szCs w:val="21"/>
              </w:rPr>
              <w:t>未建，目前厂区设有15台角磨机，满足生产需求，不再安装抛丸机。</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94" w:hRule="atLeast"/>
          <w:jc w:val="center"/>
        </w:trPr>
        <w:tc>
          <w:tcPr>
            <w:tcW w:w="1152" w:type="dxa"/>
            <w:vAlign w:val="center"/>
          </w:tcPr>
          <w:p>
            <w:pPr>
              <w:jc w:val="center"/>
              <w:rPr>
                <w:rFonts w:ascii="Times New Roman" w:hAnsi="Times New Roman"/>
                <w:color w:val="auto"/>
                <w:szCs w:val="21"/>
              </w:rPr>
            </w:pPr>
            <w:r>
              <w:rPr>
                <w:rFonts w:hint="eastAsia"/>
                <w:color w:val="auto"/>
                <w:szCs w:val="21"/>
              </w:rPr>
              <w:t>喷漆废气</w:t>
            </w:r>
          </w:p>
        </w:tc>
        <w:tc>
          <w:tcPr>
            <w:tcW w:w="3902" w:type="dxa"/>
            <w:vAlign w:val="center"/>
          </w:tcPr>
          <w:p>
            <w:pPr>
              <w:jc w:val="center"/>
              <w:rPr>
                <w:rFonts w:ascii="Times New Roman" w:hAnsi="Times New Roman"/>
                <w:color w:val="auto"/>
                <w:szCs w:val="21"/>
              </w:rPr>
            </w:pPr>
            <w:r>
              <w:rPr>
                <w:rFonts w:hint="eastAsia"/>
                <w:color w:val="auto"/>
                <w:szCs w:val="21"/>
              </w:rPr>
              <w:t>1#厂房内设一座6m×10m×3m的喷漆房和6m×15m×3m的晾干房，采用顶部送风、底部抽风的形式，配备一套“干式过滤+活性炭吸附+催化燃烧”装置+15m排气筒</w:t>
            </w:r>
          </w:p>
        </w:tc>
        <w:tc>
          <w:tcPr>
            <w:tcW w:w="3810" w:type="dxa"/>
            <w:vAlign w:val="center"/>
          </w:tcPr>
          <w:p>
            <w:pPr>
              <w:jc w:val="center"/>
              <w:rPr>
                <w:color w:val="auto"/>
                <w:szCs w:val="21"/>
              </w:rPr>
            </w:pPr>
            <w:r>
              <w:rPr>
                <w:rFonts w:hint="eastAsia"/>
                <w:color w:val="auto"/>
                <w:szCs w:val="21"/>
              </w:rPr>
              <w:t>位于2#厂房内，设一座6m×10m×3m的伸缩式喷漆房和6m×10m×3m晾干房，采用一套“干式过滤+活性炭吸附+催化燃烧”装置+15m排气筒</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152" w:type="dxa"/>
            <w:vAlign w:val="center"/>
          </w:tcPr>
          <w:p>
            <w:pPr>
              <w:jc w:val="center"/>
              <w:rPr>
                <w:color w:val="auto"/>
                <w:szCs w:val="21"/>
              </w:rPr>
            </w:pPr>
            <w:r>
              <w:rPr>
                <w:rFonts w:hint="eastAsia"/>
                <w:color w:val="auto"/>
                <w:szCs w:val="21"/>
              </w:rPr>
              <w:t>食堂油烟</w:t>
            </w:r>
          </w:p>
        </w:tc>
        <w:tc>
          <w:tcPr>
            <w:tcW w:w="3902" w:type="dxa"/>
            <w:vAlign w:val="center"/>
          </w:tcPr>
          <w:p>
            <w:pPr>
              <w:jc w:val="center"/>
              <w:rPr>
                <w:rFonts w:ascii="Times New Roman" w:hAnsi="Times New Roman"/>
                <w:color w:val="auto"/>
                <w:szCs w:val="21"/>
              </w:rPr>
            </w:pPr>
            <w:r>
              <w:rPr>
                <w:rFonts w:hint="eastAsia"/>
                <w:color w:val="auto"/>
                <w:szCs w:val="21"/>
              </w:rPr>
              <w:t>食堂配备1台油烟净化器</w:t>
            </w:r>
          </w:p>
        </w:tc>
        <w:tc>
          <w:tcPr>
            <w:tcW w:w="3810" w:type="dxa"/>
            <w:vAlign w:val="center"/>
          </w:tcPr>
          <w:p>
            <w:pPr>
              <w:jc w:val="center"/>
              <w:rPr>
                <w:color w:val="auto"/>
                <w:szCs w:val="21"/>
              </w:rPr>
            </w:pPr>
            <w:r>
              <w:rPr>
                <w:rFonts w:hint="eastAsia"/>
                <w:color w:val="auto"/>
                <w:szCs w:val="21"/>
              </w:rPr>
              <w:t>未建，食堂变更为多功能会议室</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152" w:type="dxa"/>
            <w:vAlign w:val="center"/>
          </w:tcPr>
          <w:p>
            <w:pPr>
              <w:jc w:val="center"/>
              <w:rPr>
                <w:color w:val="auto"/>
                <w:szCs w:val="21"/>
              </w:rPr>
            </w:pPr>
            <w:r>
              <w:rPr>
                <w:rFonts w:hint="eastAsia"/>
                <w:color w:val="auto"/>
                <w:szCs w:val="21"/>
              </w:rPr>
              <w:t>危废暂存间</w:t>
            </w:r>
          </w:p>
        </w:tc>
        <w:tc>
          <w:tcPr>
            <w:tcW w:w="3902" w:type="dxa"/>
            <w:vAlign w:val="center"/>
          </w:tcPr>
          <w:p>
            <w:pPr>
              <w:jc w:val="center"/>
              <w:rPr>
                <w:color w:val="auto"/>
                <w:szCs w:val="21"/>
              </w:rPr>
            </w:pPr>
            <w:r>
              <w:rPr>
                <w:rFonts w:hint="eastAsia"/>
                <w:color w:val="auto"/>
                <w:szCs w:val="21"/>
              </w:rPr>
              <w:t>1#厂房南面设置一座30m</w:t>
            </w:r>
            <w:r>
              <w:rPr>
                <w:rFonts w:hint="eastAsia"/>
                <w:color w:val="auto"/>
                <w:szCs w:val="21"/>
                <w:vertAlign w:val="superscript"/>
              </w:rPr>
              <w:t>2</w:t>
            </w:r>
            <w:r>
              <w:rPr>
                <w:rFonts w:hint="eastAsia"/>
                <w:color w:val="auto"/>
                <w:szCs w:val="21"/>
              </w:rPr>
              <w:t>危废暂存间</w:t>
            </w:r>
          </w:p>
        </w:tc>
        <w:tc>
          <w:tcPr>
            <w:tcW w:w="3810" w:type="dxa"/>
            <w:vAlign w:val="center"/>
          </w:tcPr>
          <w:p>
            <w:pPr>
              <w:jc w:val="center"/>
              <w:rPr>
                <w:color w:val="auto"/>
                <w:szCs w:val="21"/>
              </w:rPr>
            </w:pPr>
            <w:r>
              <w:rPr>
                <w:rFonts w:hint="eastAsia"/>
                <w:color w:val="auto"/>
                <w:szCs w:val="21"/>
              </w:rPr>
              <w:t>危废暂存间变更于厂区东北角，已做地面防渗及导流槽</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152" w:type="dxa"/>
            <w:vAlign w:val="center"/>
          </w:tcPr>
          <w:p>
            <w:pPr>
              <w:jc w:val="center"/>
              <w:rPr>
                <w:color w:val="auto"/>
                <w:szCs w:val="21"/>
              </w:rPr>
            </w:pPr>
            <w:r>
              <w:rPr>
                <w:rFonts w:hint="eastAsia"/>
                <w:color w:val="auto"/>
                <w:szCs w:val="21"/>
              </w:rPr>
              <w:t>绿化</w:t>
            </w:r>
          </w:p>
        </w:tc>
        <w:tc>
          <w:tcPr>
            <w:tcW w:w="3902" w:type="dxa"/>
            <w:vAlign w:val="center"/>
          </w:tcPr>
          <w:p>
            <w:pPr>
              <w:jc w:val="center"/>
              <w:rPr>
                <w:color w:val="auto"/>
                <w:szCs w:val="21"/>
              </w:rPr>
            </w:pPr>
            <w:r>
              <w:rPr>
                <w:rFonts w:hint="eastAsia"/>
                <w:color w:val="auto"/>
                <w:szCs w:val="21"/>
              </w:rPr>
              <w:t>绿化面积为8024.48m</w:t>
            </w:r>
            <w:r>
              <w:rPr>
                <w:rFonts w:hint="eastAsia"/>
                <w:color w:val="auto"/>
                <w:szCs w:val="21"/>
                <w:vertAlign w:val="superscript"/>
              </w:rPr>
              <w:t>2</w:t>
            </w:r>
          </w:p>
        </w:tc>
        <w:tc>
          <w:tcPr>
            <w:tcW w:w="3810" w:type="dxa"/>
            <w:vAlign w:val="center"/>
          </w:tcPr>
          <w:p>
            <w:pPr>
              <w:jc w:val="center"/>
              <w:rPr>
                <w:color w:val="auto"/>
                <w:szCs w:val="21"/>
              </w:rPr>
            </w:pPr>
            <w:r>
              <w:rPr>
                <w:rFonts w:hint="eastAsia"/>
                <w:color w:val="auto"/>
                <w:szCs w:val="21"/>
              </w:rPr>
              <w:t>实际绿化面积为5000m</w:t>
            </w:r>
            <w:r>
              <w:rPr>
                <w:rFonts w:hint="eastAsia"/>
                <w:color w:val="auto"/>
                <w:szCs w:val="21"/>
                <w:vertAlign w:val="superscript"/>
              </w:rPr>
              <w:t>2</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152" w:type="dxa"/>
            <w:vAlign w:val="center"/>
          </w:tcPr>
          <w:p>
            <w:pPr>
              <w:jc w:val="center"/>
              <w:rPr>
                <w:color w:val="auto"/>
                <w:szCs w:val="21"/>
              </w:rPr>
            </w:pPr>
            <w:r>
              <w:rPr>
                <w:rFonts w:hint="eastAsia"/>
                <w:color w:val="auto"/>
                <w:szCs w:val="21"/>
              </w:rPr>
              <w:t>废水</w:t>
            </w:r>
          </w:p>
        </w:tc>
        <w:tc>
          <w:tcPr>
            <w:tcW w:w="3902" w:type="dxa"/>
            <w:vAlign w:val="center"/>
          </w:tcPr>
          <w:p>
            <w:pPr>
              <w:jc w:val="center"/>
              <w:rPr>
                <w:color w:val="auto"/>
                <w:szCs w:val="21"/>
              </w:rPr>
            </w:pPr>
            <w:r>
              <w:rPr>
                <w:color w:val="auto"/>
                <w:szCs w:val="21"/>
              </w:rPr>
              <w:t>设备及地面冲洗废水</w:t>
            </w:r>
            <w:r>
              <w:rPr>
                <w:rFonts w:hint="eastAsia"/>
                <w:color w:val="auto"/>
                <w:szCs w:val="21"/>
              </w:rPr>
              <w:t>、</w:t>
            </w:r>
            <w:r>
              <w:rPr>
                <w:color w:val="auto"/>
                <w:szCs w:val="21"/>
              </w:rPr>
              <w:t>搅拌用水经沉淀池沉淀处理后循环利用</w:t>
            </w:r>
            <w:r>
              <w:rPr>
                <w:rFonts w:hint="eastAsia"/>
                <w:color w:val="auto"/>
                <w:szCs w:val="21"/>
              </w:rPr>
              <w:t>。</w:t>
            </w:r>
          </w:p>
        </w:tc>
        <w:tc>
          <w:tcPr>
            <w:tcW w:w="3810" w:type="dxa"/>
            <w:vAlign w:val="center"/>
          </w:tcPr>
          <w:p>
            <w:pPr>
              <w:jc w:val="center"/>
              <w:rPr>
                <w:color w:val="auto"/>
                <w:szCs w:val="21"/>
              </w:rPr>
            </w:pPr>
            <w:r>
              <w:rPr>
                <w:rFonts w:hint="eastAsia"/>
                <w:color w:val="auto"/>
                <w:szCs w:val="21"/>
              </w:rPr>
              <w:t>实际混凝土搅拌生产线不再建设，不产生</w:t>
            </w:r>
            <w:r>
              <w:rPr>
                <w:color w:val="auto"/>
                <w:szCs w:val="21"/>
              </w:rPr>
              <w:t>设备及地面冲洗废水</w:t>
            </w:r>
            <w:r>
              <w:rPr>
                <w:rFonts w:hint="eastAsia"/>
                <w:color w:val="auto"/>
                <w:szCs w:val="21"/>
              </w:rPr>
              <w:t>、</w:t>
            </w:r>
            <w:r>
              <w:rPr>
                <w:color w:val="auto"/>
                <w:szCs w:val="21"/>
              </w:rPr>
              <w:t>搅拌用水</w:t>
            </w:r>
            <w:r>
              <w:rPr>
                <w:rFonts w:hint="eastAsia"/>
                <w:color w:val="auto"/>
                <w:szCs w:val="21"/>
              </w:rPr>
              <w:t>。</w:t>
            </w:r>
          </w:p>
        </w:tc>
      </w:tr>
    </w:tbl>
    <w:p>
      <w:pPr>
        <w:spacing w:line="560" w:lineRule="exact"/>
        <w:ind w:firstLine="602" w:firstLineChars="200"/>
        <w:jc w:val="left"/>
        <w:rPr>
          <w:rFonts w:cs="宋体"/>
          <w:b/>
          <w:bCs/>
          <w:color w:val="auto"/>
          <w:kern w:val="0"/>
          <w:sz w:val="30"/>
          <w:szCs w:val="30"/>
        </w:rPr>
      </w:pPr>
      <w:r>
        <w:rPr>
          <w:rFonts w:hint="eastAsia" w:cs="宋体"/>
          <w:b/>
          <w:bCs/>
          <w:color w:val="auto"/>
          <w:kern w:val="0"/>
          <w:sz w:val="30"/>
          <w:szCs w:val="30"/>
        </w:rPr>
        <w:t>三、环保设施建设情况</w:t>
      </w:r>
    </w:p>
    <w:p>
      <w:pPr>
        <w:pStyle w:val="17"/>
        <w:spacing w:line="560" w:lineRule="exact"/>
        <w:ind w:firstLine="600" w:firstLineChars="200"/>
        <w:rPr>
          <w:color w:val="auto"/>
          <w:sz w:val="32"/>
          <w:szCs w:val="32"/>
        </w:rPr>
      </w:pPr>
      <w:r>
        <w:rPr>
          <w:rFonts w:hint="eastAsia"/>
          <w:color w:val="auto"/>
          <w:sz w:val="30"/>
          <w:szCs w:val="30"/>
        </w:rPr>
        <w:t>根据该项目的环境影响报告表及环评批复，本项目应建环保设施及现场检查建设情况见表3及表4</w:t>
      </w:r>
      <w:r>
        <w:rPr>
          <w:rFonts w:hint="eastAsia"/>
          <w:color w:val="auto"/>
          <w:sz w:val="32"/>
          <w:szCs w:val="32"/>
        </w:rPr>
        <w:t>。</w:t>
      </w:r>
    </w:p>
    <w:p>
      <w:pPr>
        <w:pStyle w:val="15"/>
        <w:spacing w:before="78"/>
        <w:ind w:firstLine="576"/>
        <w:rPr>
          <w:color w:val="auto"/>
          <w:sz w:val="28"/>
          <w:szCs w:val="28"/>
        </w:rPr>
      </w:pPr>
      <w:r>
        <w:rPr>
          <w:rFonts w:hint="eastAsia"/>
          <w:color w:val="auto"/>
          <w:sz w:val="28"/>
          <w:szCs w:val="28"/>
        </w:rPr>
        <w:t>表</w:t>
      </w:r>
      <w:r>
        <w:rPr>
          <w:color w:val="auto"/>
          <w:sz w:val="28"/>
          <w:szCs w:val="28"/>
        </w:rPr>
        <w:t xml:space="preserve">3  </w:t>
      </w:r>
      <w:r>
        <w:rPr>
          <w:rFonts w:hint="eastAsia"/>
          <w:color w:val="auto"/>
          <w:sz w:val="28"/>
          <w:szCs w:val="28"/>
        </w:rPr>
        <w:t>环评对本工程的环保要求及完成情况表</w:t>
      </w:r>
    </w:p>
    <w:tbl>
      <w:tblPr>
        <w:tblStyle w:val="9"/>
        <w:tblW w:w="51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8"/>
        <w:gridCol w:w="573"/>
        <w:gridCol w:w="417"/>
        <w:gridCol w:w="778"/>
        <w:gridCol w:w="905"/>
        <w:gridCol w:w="3194"/>
        <w:gridCol w:w="2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9"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类型</w:t>
            </w:r>
          </w:p>
        </w:tc>
        <w:tc>
          <w:tcPr>
            <w:tcW w:w="326"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编号</w:t>
            </w:r>
          </w:p>
        </w:tc>
        <w:tc>
          <w:tcPr>
            <w:tcW w:w="681"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排放源</w:t>
            </w:r>
          </w:p>
        </w:tc>
        <w:tc>
          <w:tcPr>
            <w:tcW w:w="516"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污染物名称</w:t>
            </w:r>
          </w:p>
        </w:tc>
        <w:tc>
          <w:tcPr>
            <w:tcW w:w="1821"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防治措施</w:t>
            </w:r>
          </w:p>
        </w:tc>
        <w:tc>
          <w:tcPr>
            <w:tcW w:w="136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9" w:type="pct"/>
            <w:vMerge w:val="restart"/>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废气</w:t>
            </w:r>
          </w:p>
        </w:tc>
        <w:tc>
          <w:tcPr>
            <w:tcW w:w="326" w:type="pct"/>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1</w:t>
            </w:r>
          </w:p>
        </w:tc>
        <w:tc>
          <w:tcPr>
            <w:tcW w:w="681"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bCs/>
                <w:color w:val="auto"/>
                <w:szCs w:val="21"/>
              </w:rPr>
              <w:t>砂石原料堆场</w:t>
            </w:r>
          </w:p>
        </w:tc>
        <w:tc>
          <w:tcPr>
            <w:tcW w:w="516"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粉尘</w:t>
            </w:r>
          </w:p>
        </w:tc>
        <w:tc>
          <w:tcPr>
            <w:tcW w:w="1821"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原料堆场采用全封闭轻钢结构。项部设固定喷淋设施，每日定期洒水</w:t>
            </w:r>
          </w:p>
        </w:tc>
        <w:tc>
          <w:tcPr>
            <w:tcW w:w="136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zCs w:val="21"/>
              </w:rPr>
            </w:pPr>
            <w:r>
              <w:rPr>
                <w:rFonts w:hint="eastAsia" w:ascii="Times New Roman" w:hAnsi="Times New Roman"/>
                <w:color w:val="auto"/>
                <w:szCs w:val="21"/>
              </w:rPr>
              <w:t>未建，采用外购混凝土经罐车拉至厂内，混凝土搅拌生产线不再建设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9"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326" w:type="pct"/>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2</w:t>
            </w:r>
          </w:p>
        </w:tc>
        <w:tc>
          <w:tcPr>
            <w:tcW w:w="681"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Cs/>
                <w:color w:val="auto"/>
                <w:szCs w:val="21"/>
              </w:rPr>
            </w:pPr>
            <w:r>
              <w:rPr>
                <w:rFonts w:ascii="Times New Roman" w:hAnsi="Times New Roman"/>
                <w:bCs/>
                <w:color w:val="auto"/>
                <w:szCs w:val="21"/>
              </w:rPr>
              <w:t>运输</w:t>
            </w:r>
          </w:p>
        </w:tc>
        <w:tc>
          <w:tcPr>
            <w:tcW w:w="516"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粉尘</w:t>
            </w:r>
          </w:p>
        </w:tc>
        <w:tc>
          <w:tcPr>
            <w:tcW w:w="1821"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限制汽车超载，运输车辆要加盖篷布；限制车速；在厂区出口设置车辆冲洗平台，出入厂区清洗车轮及车身，并及时清扫路面</w:t>
            </w:r>
          </w:p>
        </w:tc>
        <w:tc>
          <w:tcPr>
            <w:tcW w:w="136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zCs w:val="21"/>
              </w:rPr>
            </w:pPr>
            <w:r>
              <w:rPr>
                <w:rFonts w:hint="eastAsia" w:ascii="Times New Roman" w:hAnsi="Times New Roman"/>
                <w:color w:val="auto"/>
                <w:szCs w:val="21"/>
              </w:rPr>
              <w:t>已验收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9"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326" w:type="pct"/>
            <w:tcBorders>
              <w:left w:val="single" w:color="auto" w:sz="4" w:space="0"/>
              <w:right w:val="single" w:color="auto" w:sz="4" w:space="0"/>
            </w:tcBorders>
            <w:vAlign w:val="center"/>
          </w:tcPr>
          <w:p>
            <w:pPr>
              <w:jc w:val="center"/>
              <w:rPr>
                <w:rFonts w:ascii="Times New Roman" w:hAnsi="Times New Roman"/>
                <w:color w:val="auto"/>
                <w:szCs w:val="21"/>
              </w:rPr>
            </w:pPr>
            <w:r>
              <w:rPr>
                <w:rFonts w:hint="eastAsia" w:ascii="Times New Roman" w:hAnsi="Times New Roman"/>
                <w:color w:val="auto"/>
                <w:szCs w:val="21"/>
              </w:rPr>
              <w:t>3</w:t>
            </w:r>
          </w:p>
        </w:tc>
        <w:tc>
          <w:tcPr>
            <w:tcW w:w="681"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bCs/>
                <w:color w:val="auto"/>
                <w:szCs w:val="21"/>
              </w:rPr>
              <w:t>水泥筒仓</w:t>
            </w:r>
          </w:p>
        </w:tc>
        <w:tc>
          <w:tcPr>
            <w:tcW w:w="516"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粉尘</w:t>
            </w:r>
          </w:p>
        </w:tc>
        <w:tc>
          <w:tcPr>
            <w:tcW w:w="1821"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水泥采用全封闭水泥筒仓储存，水泥筒仓仓顶设置脉冲布袋除尘器，</w:t>
            </w:r>
            <w:r>
              <w:rPr>
                <w:rFonts w:ascii="Times New Roman" w:hAnsi="Times New Roman"/>
                <w:color w:val="auto"/>
                <w:kern w:val="10"/>
                <w:szCs w:val="21"/>
              </w:rPr>
              <w:t>处理后的废气</w:t>
            </w:r>
            <w:r>
              <w:rPr>
                <w:rFonts w:ascii="Times New Roman" w:hAnsi="Times New Roman"/>
                <w:color w:val="auto"/>
                <w:szCs w:val="21"/>
              </w:rPr>
              <w:t>与搅拌废气一同通过15m排气筒（DA001）排放。同时配套密闭输送给料系统，减少粉尘的逸散</w:t>
            </w:r>
          </w:p>
        </w:tc>
        <w:tc>
          <w:tcPr>
            <w:tcW w:w="136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zCs w:val="21"/>
              </w:rPr>
            </w:pPr>
            <w:r>
              <w:rPr>
                <w:rFonts w:hint="eastAsia" w:ascii="Times New Roman" w:hAnsi="Times New Roman"/>
                <w:color w:val="auto"/>
                <w:szCs w:val="21"/>
              </w:rPr>
              <w:t>采用外购混凝土经罐车拉至厂内，混凝土搅拌生产线不再建设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9"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326" w:type="pct"/>
            <w:tcBorders>
              <w:left w:val="single" w:color="auto" w:sz="4" w:space="0"/>
              <w:right w:val="single" w:color="auto" w:sz="4" w:space="0"/>
            </w:tcBorders>
            <w:vAlign w:val="center"/>
          </w:tcPr>
          <w:p>
            <w:pPr>
              <w:jc w:val="center"/>
              <w:rPr>
                <w:rFonts w:ascii="Times New Roman" w:hAnsi="Times New Roman"/>
                <w:color w:val="auto"/>
                <w:szCs w:val="21"/>
              </w:rPr>
            </w:pPr>
            <w:r>
              <w:rPr>
                <w:rFonts w:hint="eastAsia" w:ascii="Times New Roman" w:hAnsi="Times New Roman"/>
                <w:color w:val="auto"/>
                <w:szCs w:val="21"/>
              </w:rPr>
              <w:t>4</w:t>
            </w:r>
          </w:p>
        </w:tc>
        <w:tc>
          <w:tcPr>
            <w:tcW w:w="681"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kern w:val="0"/>
                <w:szCs w:val="21"/>
                <w:lang w:bidi="ar"/>
              </w:rPr>
            </w:pPr>
            <w:r>
              <w:rPr>
                <w:rFonts w:ascii="Times New Roman" w:hAnsi="Times New Roman"/>
                <w:bCs/>
                <w:color w:val="auto"/>
                <w:szCs w:val="21"/>
              </w:rPr>
              <w:t>搅拌主机</w:t>
            </w:r>
          </w:p>
        </w:tc>
        <w:tc>
          <w:tcPr>
            <w:tcW w:w="516"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kern w:val="0"/>
                <w:szCs w:val="21"/>
                <w:lang w:bidi="ar"/>
              </w:rPr>
            </w:pPr>
            <w:r>
              <w:rPr>
                <w:rFonts w:ascii="Times New Roman" w:hAnsi="Times New Roman"/>
                <w:color w:val="auto"/>
                <w:szCs w:val="21"/>
              </w:rPr>
              <w:t>粉尘</w:t>
            </w:r>
          </w:p>
        </w:tc>
        <w:tc>
          <w:tcPr>
            <w:tcW w:w="182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kern w:val="0"/>
                <w:szCs w:val="21"/>
                <w:lang w:bidi="ar"/>
              </w:rPr>
            </w:pPr>
            <w:r>
              <w:rPr>
                <w:rFonts w:ascii="Times New Roman" w:hAnsi="Times New Roman"/>
                <w:color w:val="auto"/>
                <w:szCs w:val="21"/>
              </w:rPr>
              <w:t>本项目搅拌设备四周进行全封闭围挡，</w:t>
            </w:r>
            <w:r>
              <w:rPr>
                <w:rFonts w:ascii="Times New Roman" w:hAnsi="Times New Roman"/>
                <w:bCs/>
                <w:snapToGrid w:val="0"/>
                <w:color w:val="auto"/>
                <w:kern w:val="10"/>
                <w:szCs w:val="21"/>
              </w:rPr>
              <w:t>顶部设置集尘罩收集经</w:t>
            </w:r>
            <w:r>
              <w:rPr>
                <w:rFonts w:ascii="Times New Roman" w:hAnsi="Times New Roman"/>
                <w:color w:val="auto"/>
                <w:szCs w:val="21"/>
              </w:rPr>
              <w:t>布袋</w:t>
            </w:r>
            <w:r>
              <w:rPr>
                <w:rFonts w:ascii="Times New Roman" w:hAnsi="Times New Roman"/>
                <w:bCs/>
                <w:snapToGrid w:val="0"/>
                <w:color w:val="auto"/>
                <w:kern w:val="10"/>
                <w:szCs w:val="21"/>
              </w:rPr>
              <w:t>除尘器处理</w:t>
            </w:r>
            <w:r>
              <w:rPr>
                <w:rFonts w:ascii="Times New Roman" w:hAnsi="Times New Roman"/>
                <w:color w:val="auto"/>
                <w:kern w:val="10"/>
                <w:szCs w:val="21"/>
              </w:rPr>
              <w:t>后的与筒仓废气一同通过</w:t>
            </w:r>
            <w:r>
              <w:rPr>
                <w:rFonts w:ascii="Times New Roman" w:hAnsi="Times New Roman"/>
                <w:color w:val="auto"/>
                <w:szCs w:val="21"/>
              </w:rPr>
              <w:t>15m排气筒（DA001）排放</w:t>
            </w:r>
          </w:p>
        </w:tc>
        <w:tc>
          <w:tcPr>
            <w:tcW w:w="1363" w:type="pc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auto"/>
                <w:kern w:val="0"/>
                <w:szCs w:val="21"/>
                <w:lang w:bidi="ar"/>
              </w:rPr>
            </w:pPr>
            <w:r>
              <w:rPr>
                <w:rFonts w:hint="eastAsia" w:ascii="Times New Roman" w:hAnsi="Times New Roman"/>
                <w:color w:val="auto"/>
                <w:szCs w:val="21"/>
              </w:rPr>
              <w:t>采用外购混凝土经罐车拉至厂内，混凝土搅拌生产线不再建设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9"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326" w:type="pct"/>
            <w:tcBorders>
              <w:left w:val="single" w:color="auto" w:sz="4" w:space="0"/>
              <w:right w:val="single" w:color="auto" w:sz="4" w:space="0"/>
            </w:tcBorders>
            <w:vAlign w:val="center"/>
          </w:tcPr>
          <w:p>
            <w:pPr>
              <w:jc w:val="center"/>
              <w:rPr>
                <w:rFonts w:ascii="Times New Roman" w:hAnsi="Times New Roman"/>
                <w:color w:val="auto"/>
                <w:szCs w:val="21"/>
              </w:rPr>
            </w:pPr>
            <w:r>
              <w:rPr>
                <w:rFonts w:hint="eastAsia" w:ascii="Times New Roman" w:hAnsi="Times New Roman"/>
                <w:color w:val="auto"/>
                <w:szCs w:val="21"/>
              </w:rPr>
              <w:t>5</w:t>
            </w:r>
          </w:p>
        </w:tc>
        <w:tc>
          <w:tcPr>
            <w:tcW w:w="681"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pacing w:val="-1"/>
                <w:szCs w:val="21"/>
              </w:rPr>
            </w:pPr>
            <w:r>
              <w:rPr>
                <w:rFonts w:ascii="Times New Roman" w:hAnsi="Times New Roman"/>
                <w:bCs/>
                <w:color w:val="auto"/>
                <w:szCs w:val="21"/>
              </w:rPr>
              <w:t>切割</w:t>
            </w:r>
          </w:p>
        </w:tc>
        <w:tc>
          <w:tcPr>
            <w:tcW w:w="516"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pacing w:val="-1"/>
                <w:szCs w:val="21"/>
              </w:rPr>
            </w:pPr>
            <w:r>
              <w:rPr>
                <w:rFonts w:ascii="Times New Roman" w:hAnsi="Times New Roman"/>
                <w:color w:val="auto"/>
                <w:szCs w:val="21"/>
              </w:rPr>
              <w:t>粉尘</w:t>
            </w:r>
          </w:p>
        </w:tc>
        <w:tc>
          <w:tcPr>
            <w:tcW w:w="1821"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数控等离子火焰切割机各安装移动式侧吸罩收集进入布袋除尘器处理，处理后经15m排气筒（DA00</w:t>
            </w:r>
            <w:r>
              <w:rPr>
                <w:rFonts w:hint="eastAsia"/>
                <w:color w:val="auto"/>
                <w:szCs w:val="21"/>
              </w:rPr>
              <w:t>2</w:t>
            </w:r>
            <w:r>
              <w:rPr>
                <w:rFonts w:ascii="Times New Roman" w:hAnsi="Times New Roman"/>
                <w:color w:val="auto"/>
                <w:szCs w:val="21"/>
              </w:rPr>
              <w:t>）排放</w:t>
            </w:r>
          </w:p>
        </w:tc>
        <w:tc>
          <w:tcPr>
            <w:tcW w:w="136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zCs w:val="21"/>
              </w:rPr>
            </w:pPr>
            <w:r>
              <w:rPr>
                <w:rFonts w:hint="eastAsia" w:ascii="Times New Roman" w:hAnsi="Times New Roman"/>
                <w:color w:val="auto"/>
                <w:szCs w:val="21"/>
              </w:rPr>
              <w:t>已验收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9"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326" w:type="pct"/>
            <w:tcBorders>
              <w:left w:val="single" w:color="auto" w:sz="4" w:space="0"/>
              <w:right w:val="single" w:color="auto" w:sz="4" w:space="0"/>
            </w:tcBorders>
            <w:vAlign w:val="center"/>
          </w:tcPr>
          <w:p>
            <w:pPr>
              <w:jc w:val="center"/>
              <w:rPr>
                <w:rFonts w:ascii="Times New Roman" w:hAnsi="Times New Roman"/>
                <w:color w:val="auto"/>
                <w:szCs w:val="21"/>
              </w:rPr>
            </w:pPr>
            <w:r>
              <w:rPr>
                <w:rFonts w:hint="eastAsia" w:ascii="Times New Roman" w:hAnsi="Times New Roman"/>
                <w:color w:val="auto"/>
                <w:szCs w:val="21"/>
              </w:rPr>
              <w:t>6</w:t>
            </w:r>
          </w:p>
        </w:tc>
        <w:tc>
          <w:tcPr>
            <w:tcW w:w="681"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pacing w:val="-1"/>
                <w:szCs w:val="21"/>
              </w:rPr>
            </w:pPr>
            <w:r>
              <w:rPr>
                <w:rFonts w:ascii="Times New Roman" w:hAnsi="Times New Roman"/>
                <w:color w:val="auto"/>
                <w:szCs w:val="21"/>
              </w:rPr>
              <w:t>焊接</w:t>
            </w:r>
          </w:p>
        </w:tc>
        <w:tc>
          <w:tcPr>
            <w:tcW w:w="516"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pacing w:val="-1"/>
                <w:szCs w:val="21"/>
              </w:rPr>
            </w:pPr>
            <w:r>
              <w:rPr>
                <w:rFonts w:ascii="Times New Roman" w:hAnsi="Times New Roman"/>
                <w:color w:val="auto"/>
                <w:szCs w:val="21"/>
              </w:rPr>
              <w:t>粉尘</w:t>
            </w:r>
          </w:p>
        </w:tc>
        <w:tc>
          <w:tcPr>
            <w:tcW w:w="1821"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设置定点焊接区域，各工位设置集气罩，安装排放管路集中收集废气后收集进入布袋除尘器处理，处理后与打磨粉尘共用一个15m排气筒（DA003）排放</w:t>
            </w:r>
          </w:p>
        </w:tc>
        <w:tc>
          <w:tcPr>
            <w:tcW w:w="136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zCs w:val="21"/>
              </w:rPr>
            </w:pPr>
            <w:r>
              <w:rPr>
                <w:rFonts w:hint="eastAsia" w:ascii="Times New Roman" w:hAnsi="Times New Roman"/>
                <w:color w:val="auto"/>
                <w:szCs w:val="21"/>
              </w:rPr>
              <w:t>已验收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9"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326" w:type="pct"/>
            <w:tcBorders>
              <w:left w:val="single" w:color="auto" w:sz="4" w:space="0"/>
              <w:right w:val="single" w:color="auto" w:sz="4" w:space="0"/>
            </w:tcBorders>
            <w:vAlign w:val="center"/>
          </w:tcPr>
          <w:p>
            <w:pPr>
              <w:jc w:val="center"/>
              <w:rPr>
                <w:rFonts w:ascii="Times New Roman" w:hAnsi="Times New Roman"/>
                <w:color w:val="auto"/>
                <w:szCs w:val="21"/>
              </w:rPr>
            </w:pPr>
            <w:r>
              <w:rPr>
                <w:rFonts w:hint="eastAsia" w:ascii="Times New Roman" w:hAnsi="Times New Roman"/>
                <w:color w:val="auto"/>
                <w:szCs w:val="21"/>
              </w:rPr>
              <w:t>7</w:t>
            </w:r>
          </w:p>
        </w:tc>
        <w:tc>
          <w:tcPr>
            <w:tcW w:w="681"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kern w:val="0"/>
                <w:szCs w:val="21"/>
                <w:lang w:bidi="ar"/>
              </w:rPr>
            </w:pPr>
            <w:r>
              <w:rPr>
                <w:rFonts w:ascii="Times New Roman" w:hAnsi="Times New Roman"/>
                <w:bCs/>
                <w:color w:val="auto"/>
                <w:szCs w:val="21"/>
              </w:rPr>
              <w:t>打磨</w:t>
            </w:r>
          </w:p>
        </w:tc>
        <w:tc>
          <w:tcPr>
            <w:tcW w:w="516"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pacing w:val="-1"/>
                <w:szCs w:val="21"/>
              </w:rPr>
            </w:pPr>
            <w:r>
              <w:rPr>
                <w:rFonts w:ascii="Times New Roman" w:hAnsi="Times New Roman"/>
                <w:color w:val="auto"/>
                <w:szCs w:val="21"/>
              </w:rPr>
              <w:t>粉尘</w:t>
            </w:r>
          </w:p>
        </w:tc>
        <w:tc>
          <w:tcPr>
            <w:tcW w:w="182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kern w:val="0"/>
                <w:szCs w:val="21"/>
                <w:lang w:bidi="ar"/>
              </w:rPr>
            </w:pPr>
            <w:r>
              <w:rPr>
                <w:rFonts w:ascii="Times New Roman" w:hAnsi="Times New Roman"/>
                <w:color w:val="auto"/>
                <w:szCs w:val="21"/>
              </w:rPr>
              <w:t>抛丸粉尘经自带除尘器处理后与焊接共用一个15m排气筒（DA003）排放</w:t>
            </w:r>
          </w:p>
        </w:tc>
        <w:tc>
          <w:tcPr>
            <w:tcW w:w="136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zCs w:val="21"/>
              </w:rPr>
            </w:pPr>
            <w:r>
              <w:rPr>
                <w:rFonts w:hint="eastAsia"/>
                <w:color w:val="auto"/>
                <w:szCs w:val="21"/>
              </w:rPr>
              <w:t>目前厂区设有15台角磨机，满足生产需求，不再安装抛丸机。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9"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326" w:type="pct"/>
            <w:tcBorders>
              <w:left w:val="single" w:color="auto" w:sz="4" w:space="0"/>
              <w:right w:val="single" w:color="auto" w:sz="4" w:space="0"/>
            </w:tcBorders>
            <w:vAlign w:val="center"/>
          </w:tcPr>
          <w:p>
            <w:pPr>
              <w:jc w:val="center"/>
              <w:rPr>
                <w:rFonts w:ascii="Times New Roman" w:hAnsi="Times New Roman"/>
                <w:color w:val="auto"/>
                <w:szCs w:val="21"/>
              </w:rPr>
            </w:pPr>
            <w:r>
              <w:rPr>
                <w:rFonts w:hint="eastAsia" w:ascii="Times New Roman" w:hAnsi="Times New Roman"/>
                <w:color w:val="auto"/>
                <w:szCs w:val="21"/>
              </w:rPr>
              <w:t>8</w:t>
            </w:r>
          </w:p>
        </w:tc>
        <w:tc>
          <w:tcPr>
            <w:tcW w:w="681"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kern w:val="0"/>
                <w:szCs w:val="21"/>
                <w:lang w:bidi="ar"/>
              </w:rPr>
            </w:pPr>
            <w:r>
              <w:rPr>
                <w:rFonts w:ascii="Times New Roman" w:hAnsi="Times New Roman"/>
                <w:bCs/>
                <w:color w:val="auto"/>
                <w:szCs w:val="21"/>
              </w:rPr>
              <w:t>喷漆</w:t>
            </w:r>
          </w:p>
        </w:tc>
        <w:tc>
          <w:tcPr>
            <w:tcW w:w="516"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pacing w:val="-1"/>
                <w:szCs w:val="21"/>
              </w:rPr>
            </w:pPr>
            <w:r>
              <w:rPr>
                <w:rFonts w:ascii="Times New Roman" w:hAnsi="Times New Roman"/>
                <w:color w:val="auto"/>
                <w:szCs w:val="21"/>
              </w:rPr>
              <w:t>有机废气</w:t>
            </w:r>
          </w:p>
        </w:tc>
        <w:tc>
          <w:tcPr>
            <w:tcW w:w="182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kern w:val="0"/>
                <w:szCs w:val="21"/>
                <w:lang w:bidi="ar"/>
              </w:rPr>
            </w:pPr>
            <w:r>
              <w:rPr>
                <w:rFonts w:ascii="Times New Roman" w:hAnsi="Times New Roman"/>
                <w:color w:val="auto"/>
                <w:szCs w:val="21"/>
              </w:rPr>
              <w:t>喷漆晾干过程全封闭，</w:t>
            </w:r>
            <w:r>
              <w:rPr>
                <w:rFonts w:hint="eastAsia"/>
                <w:color w:val="auto"/>
                <w:szCs w:val="21"/>
              </w:rPr>
              <w:t>配置</w:t>
            </w:r>
            <w:r>
              <w:rPr>
                <w:rFonts w:ascii="Times New Roman" w:hAnsi="Times New Roman"/>
                <w:color w:val="auto"/>
                <w:szCs w:val="21"/>
              </w:rPr>
              <w:t>一套“</w:t>
            </w:r>
            <w:r>
              <w:rPr>
                <w:rFonts w:hint="eastAsia"/>
                <w:color w:val="auto"/>
                <w:szCs w:val="21"/>
              </w:rPr>
              <w:t>干式过滤+活性炭吸附+催化燃烧</w:t>
            </w:r>
            <w:r>
              <w:rPr>
                <w:rFonts w:ascii="Times New Roman" w:hAnsi="Times New Roman"/>
                <w:color w:val="auto"/>
                <w:szCs w:val="21"/>
              </w:rPr>
              <w:t>”，处理后经15m高排气筒（DA00</w:t>
            </w:r>
            <w:r>
              <w:rPr>
                <w:rFonts w:hint="eastAsia"/>
                <w:color w:val="auto"/>
                <w:szCs w:val="21"/>
              </w:rPr>
              <w:t>4</w:t>
            </w:r>
            <w:r>
              <w:rPr>
                <w:rFonts w:ascii="Times New Roman" w:hAnsi="Times New Roman"/>
                <w:color w:val="auto"/>
                <w:szCs w:val="21"/>
              </w:rPr>
              <w:t>）排放</w:t>
            </w:r>
          </w:p>
        </w:tc>
        <w:tc>
          <w:tcPr>
            <w:tcW w:w="136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喷漆晾干过程全封闭，</w:t>
            </w:r>
            <w:r>
              <w:rPr>
                <w:rFonts w:hint="eastAsia"/>
                <w:color w:val="auto"/>
                <w:szCs w:val="21"/>
              </w:rPr>
              <w:t>配置</w:t>
            </w:r>
            <w:r>
              <w:rPr>
                <w:rFonts w:ascii="Times New Roman" w:hAnsi="Times New Roman"/>
                <w:color w:val="auto"/>
                <w:szCs w:val="21"/>
              </w:rPr>
              <w:t>一套“</w:t>
            </w:r>
            <w:r>
              <w:rPr>
                <w:rFonts w:hint="eastAsia"/>
                <w:color w:val="auto"/>
                <w:szCs w:val="21"/>
              </w:rPr>
              <w:t>干式过滤+活性炭吸附+催化燃烧</w:t>
            </w:r>
            <w:r>
              <w:rPr>
                <w:rFonts w:ascii="Times New Roman" w:hAnsi="Times New Roman"/>
                <w:color w:val="auto"/>
                <w:szCs w:val="21"/>
              </w:rPr>
              <w:t>”，处理后经15m高排气筒（DA00</w:t>
            </w:r>
            <w:r>
              <w:rPr>
                <w:rFonts w:hint="eastAsia" w:ascii="Times New Roman" w:hAnsi="Times New Roman"/>
                <w:color w:val="auto"/>
                <w:szCs w:val="21"/>
              </w:rPr>
              <w:t>2</w:t>
            </w:r>
            <w:r>
              <w:rPr>
                <w:rFonts w:ascii="Times New Roman" w:hAnsi="Times New Roman"/>
                <w:color w:val="auto"/>
                <w:szCs w:val="21"/>
              </w:rPr>
              <w:t>）排放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9"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326" w:type="pct"/>
            <w:tcBorders>
              <w:left w:val="single" w:color="auto" w:sz="4" w:space="0"/>
              <w:right w:val="single" w:color="auto" w:sz="4" w:space="0"/>
            </w:tcBorders>
            <w:vAlign w:val="center"/>
          </w:tcPr>
          <w:p>
            <w:pPr>
              <w:jc w:val="center"/>
              <w:rPr>
                <w:rFonts w:ascii="Times New Roman" w:hAnsi="Times New Roman"/>
                <w:color w:val="auto"/>
                <w:szCs w:val="21"/>
              </w:rPr>
            </w:pPr>
            <w:r>
              <w:rPr>
                <w:rFonts w:hint="eastAsia" w:ascii="Times New Roman" w:hAnsi="Times New Roman"/>
                <w:color w:val="auto"/>
                <w:szCs w:val="21"/>
              </w:rPr>
              <w:t>9</w:t>
            </w:r>
          </w:p>
        </w:tc>
        <w:tc>
          <w:tcPr>
            <w:tcW w:w="681"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kern w:val="0"/>
                <w:szCs w:val="21"/>
                <w:lang w:bidi="ar"/>
              </w:rPr>
            </w:pPr>
            <w:r>
              <w:rPr>
                <w:rFonts w:ascii="Times New Roman" w:hAnsi="Times New Roman"/>
                <w:snapToGrid w:val="0"/>
                <w:color w:val="auto"/>
                <w:kern w:val="10"/>
                <w:szCs w:val="21"/>
              </w:rPr>
              <w:t>食堂</w:t>
            </w:r>
          </w:p>
        </w:tc>
        <w:tc>
          <w:tcPr>
            <w:tcW w:w="516"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pacing w:val="-1"/>
                <w:szCs w:val="21"/>
              </w:rPr>
            </w:pPr>
            <w:r>
              <w:rPr>
                <w:rFonts w:ascii="Times New Roman" w:hAnsi="Times New Roman"/>
                <w:color w:val="auto"/>
                <w:spacing w:val="9"/>
                <w:szCs w:val="21"/>
              </w:rPr>
              <w:t>油烟</w:t>
            </w:r>
          </w:p>
        </w:tc>
        <w:tc>
          <w:tcPr>
            <w:tcW w:w="182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kern w:val="0"/>
                <w:szCs w:val="21"/>
                <w:lang w:bidi="ar"/>
              </w:rPr>
            </w:pPr>
            <w:r>
              <w:rPr>
                <w:rFonts w:ascii="Times New Roman" w:hAnsi="Times New Roman"/>
                <w:color w:val="auto"/>
                <w:szCs w:val="21"/>
              </w:rPr>
              <w:t>设置</w:t>
            </w:r>
            <w:r>
              <w:rPr>
                <w:rFonts w:hint="eastAsia"/>
                <w:color w:val="auto"/>
                <w:szCs w:val="21"/>
              </w:rPr>
              <w:t>安装</w:t>
            </w:r>
            <w:r>
              <w:rPr>
                <w:rFonts w:ascii="Times New Roman" w:hAnsi="Times New Roman"/>
                <w:color w:val="auto"/>
                <w:szCs w:val="21"/>
              </w:rPr>
              <w:t>油烟净化器</w:t>
            </w:r>
          </w:p>
        </w:tc>
        <w:tc>
          <w:tcPr>
            <w:tcW w:w="136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zCs w:val="21"/>
              </w:rPr>
            </w:pPr>
            <w:r>
              <w:rPr>
                <w:rFonts w:hint="eastAsia"/>
                <w:color w:val="auto"/>
                <w:szCs w:val="21"/>
              </w:rPr>
              <w:t>食堂变更为多功能会议室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89" w:type="pct"/>
            <w:vMerge w:val="restart"/>
            <w:tcBorders>
              <w:left w:val="single" w:color="auto" w:sz="4" w:space="0"/>
              <w:right w:val="single" w:color="auto" w:sz="4" w:space="0"/>
            </w:tcBorders>
            <w:vAlign w:val="center"/>
          </w:tcPr>
          <w:p>
            <w:pPr>
              <w:jc w:val="center"/>
              <w:rPr>
                <w:rFonts w:ascii="Times New Roman" w:hAnsi="Times New Roman"/>
                <w:color w:val="auto"/>
                <w:szCs w:val="21"/>
              </w:rPr>
            </w:pPr>
            <w:r>
              <w:rPr>
                <w:rFonts w:hint="eastAsia" w:ascii="Times New Roman" w:hAnsi="Times New Roman"/>
                <w:color w:val="auto"/>
                <w:szCs w:val="21"/>
              </w:rPr>
              <w:t>污水</w:t>
            </w:r>
          </w:p>
        </w:tc>
        <w:tc>
          <w:tcPr>
            <w:tcW w:w="326" w:type="pct"/>
            <w:tcBorders>
              <w:left w:val="single" w:color="auto" w:sz="4" w:space="0"/>
              <w:right w:val="single" w:color="auto" w:sz="4" w:space="0"/>
            </w:tcBorders>
            <w:vAlign w:val="center"/>
          </w:tcPr>
          <w:p>
            <w:pPr>
              <w:jc w:val="center"/>
              <w:rPr>
                <w:color w:val="auto"/>
                <w:szCs w:val="21"/>
              </w:rPr>
            </w:pPr>
            <w:r>
              <w:rPr>
                <w:rFonts w:hint="eastAsia"/>
                <w:color w:val="auto"/>
                <w:szCs w:val="21"/>
              </w:rPr>
              <w:t>10</w:t>
            </w:r>
          </w:p>
        </w:tc>
        <w:tc>
          <w:tcPr>
            <w:tcW w:w="681" w:type="pct"/>
            <w:gridSpan w:val="2"/>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bCs/>
                <w:color w:val="auto"/>
                <w:szCs w:val="21"/>
              </w:rPr>
              <w:t>生活污水</w:t>
            </w:r>
          </w:p>
        </w:tc>
        <w:tc>
          <w:tcPr>
            <w:tcW w:w="516" w:type="pct"/>
            <w:tcBorders>
              <w:top w:val="single" w:color="auto" w:sz="4" w:space="0"/>
              <w:left w:val="single" w:color="auto" w:sz="4" w:space="0"/>
              <w:right w:val="single" w:color="auto" w:sz="4" w:space="0"/>
            </w:tcBorders>
            <w:vAlign w:val="center"/>
          </w:tcPr>
          <w:p>
            <w:pPr>
              <w:jc w:val="center"/>
              <w:rPr>
                <w:rFonts w:ascii="宋体" w:hAnsi="宋体" w:cs="宋体"/>
                <w:color w:val="auto"/>
                <w:kern w:val="0"/>
                <w:szCs w:val="21"/>
                <w:lang w:bidi="ar"/>
              </w:rPr>
            </w:pPr>
            <w:r>
              <w:rPr>
                <w:rFonts w:ascii="Times New Roman" w:hAnsi="Times New Roman"/>
                <w:color w:val="auto"/>
                <w:szCs w:val="21"/>
              </w:rPr>
              <w:t>COD、BOD</w:t>
            </w:r>
            <w:r>
              <w:rPr>
                <w:rFonts w:ascii="Times New Roman" w:hAnsi="Times New Roman"/>
                <w:color w:val="auto"/>
                <w:szCs w:val="21"/>
                <w:vertAlign w:val="subscript"/>
              </w:rPr>
              <w:t>5</w:t>
            </w:r>
            <w:r>
              <w:rPr>
                <w:rFonts w:ascii="Times New Roman" w:hAnsi="Times New Roman"/>
                <w:color w:val="auto"/>
                <w:szCs w:val="21"/>
              </w:rPr>
              <w:t>、氨氮、SS</w:t>
            </w:r>
          </w:p>
        </w:tc>
        <w:tc>
          <w:tcPr>
            <w:tcW w:w="1821" w:type="pct"/>
            <w:tcBorders>
              <w:top w:val="single" w:color="auto" w:sz="4" w:space="0"/>
              <w:left w:val="single" w:color="auto" w:sz="4" w:space="0"/>
              <w:right w:val="single" w:color="auto" w:sz="4" w:space="0"/>
            </w:tcBorders>
            <w:vAlign w:val="center"/>
          </w:tcPr>
          <w:p>
            <w:pPr>
              <w:jc w:val="center"/>
              <w:rPr>
                <w:rFonts w:ascii="宋体" w:hAnsi="宋体" w:cs="宋体"/>
                <w:color w:val="auto"/>
                <w:kern w:val="0"/>
                <w:szCs w:val="21"/>
                <w:lang w:bidi="ar"/>
              </w:rPr>
            </w:pPr>
            <w:r>
              <w:rPr>
                <w:rFonts w:ascii="Times New Roman" w:hAnsi="Times New Roman"/>
                <w:color w:val="auto"/>
                <w:szCs w:val="21"/>
              </w:rPr>
              <w:t>经化粪池预处理后进入市政污水管网，最终进入长治市污水处理厂</w:t>
            </w:r>
          </w:p>
        </w:tc>
        <w:tc>
          <w:tcPr>
            <w:tcW w:w="1363" w:type="pct"/>
            <w:tcBorders>
              <w:top w:val="single" w:color="auto" w:sz="4" w:space="0"/>
              <w:left w:val="single" w:color="auto" w:sz="4" w:space="0"/>
              <w:right w:val="single" w:color="auto" w:sz="4" w:space="0"/>
            </w:tcBorders>
            <w:vAlign w:val="center"/>
          </w:tcPr>
          <w:p>
            <w:pPr>
              <w:jc w:val="center"/>
              <w:rPr>
                <w:rFonts w:ascii="宋体" w:hAnsi="宋体" w:cs="宋体"/>
                <w:color w:val="auto"/>
                <w:kern w:val="0"/>
                <w:szCs w:val="21"/>
                <w:lang w:bidi="ar"/>
              </w:rPr>
            </w:pPr>
            <w:r>
              <w:rPr>
                <w:rFonts w:hint="eastAsia" w:ascii="宋体" w:hAnsi="宋体" w:cs="宋体"/>
                <w:color w:val="auto"/>
                <w:kern w:val="0"/>
                <w:szCs w:val="21"/>
                <w:lang w:bidi="ar"/>
              </w:rPr>
              <w:t>已验收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89"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326" w:type="pct"/>
            <w:tcBorders>
              <w:left w:val="single" w:color="auto" w:sz="4" w:space="0"/>
              <w:right w:val="single" w:color="auto" w:sz="4" w:space="0"/>
            </w:tcBorders>
            <w:vAlign w:val="center"/>
          </w:tcPr>
          <w:p>
            <w:pPr>
              <w:jc w:val="center"/>
              <w:rPr>
                <w:rFonts w:ascii="Times New Roman" w:hAnsi="Times New Roman"/>
                <w:color w:val="auto"/>
                <w:szCs w:val="21"/>
              </w:rPr>
            </w:pPr>
            <w:r>
              <w:rPr>
                <w:rFonts w:hint="eastAsia" w:ascii="Times New Roman" w:hAnsi="Times New Roman"/>
                <w:color w:val="auto"/>
                <w:szCs w:val="21"/>
              </w:rPr>
              <w:t>11</w:t>
            </w:r>
          </w:p>
        </w:tc>
        <w:tc>
          <w:tcPr>
            <w:tcW w:w="681" w:type="pct"/>
            <w:gridSpan w:val="2"/>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洗车平台</w:t>
            </w:r>
          </w:p>
        </w:tc>
        <w:tc>
          <w:tcPr>
            <w:tcW w:w="516" w:type="pct"/>
            <w:vMerge w:val="restart"/>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SS</w:t>
            </w:r>
          </w:p>
        </w:tc>
        <w:tc>
          <w:tcPr>
            <w:tcW w:w="1821" w:type="pct"/>
            <w:vMerge w:val="restart"/>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废水经沉淀池沉淀处理后循环利用</w:t>
            </w:r>
          </w:p>
        </w:tc>
        <w:tc>
          <w:tcPr>
            <w:tcW w:w="1363" w:type="pct"/>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r>
              <w:rPr>
                <w:rFonts w:hint="eastAsia" w:ascii="宋体" w:hAnsi="宋体" w:cs="宋体"/>
                <w:color w:val="auto"/>
                <w:kern w:val="0"/>
                <w:szCs w:val="21"/>
                <w:lang w:bidi="ar"/>
              </w:rPr>
              <w:t>已验收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89"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326" w:type="pct"/>
            <w:tcBorders>
              <w:left w:val="single" w:color="auto" w:sz="4" w:space="0"/>
              <w:right w:val="single" w:color="auto" w:sz="4" w:space="0"/>
            </w:tcBorders>
            <w:vAlign w:val="center"/>
          </w:tcPr>
          <w:p>
            <w:pPr>
              <w:jc w:val="center"/>
              <w:rPr>
                <w:rFonts w:ascii="Times New Roman" w:hAnsi="Times New Roman"/>
                <w:color w:val="auto"/>
                <w:szCs w:val="21"/>
              </w:rPr>
            </w:pPr>
            <w:r>
              <w:rPr>
                <w:rFonts w:hint="eastAsia" w:ascii="Times New Roman" w:hAnsi="Times New Roman"/>
                <w:color w:val="auto"/>
                <w:szCs w:val="21"/>
              </w:rPr>
              <w:t>12</w:t>
            </w:r>
          </w:p>
        </w:tc>
        <w:tc>
          <w:tcPr>
            <w:tcW w:w="681" w:type="pct"/>
            <w:gridSpan w:val="2"/>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设备及地面冲洗废水</w:t>
            </w:r>
          </w:p>
        </w:tc>
        <w:tc>
          <w:tcPr>
            <w:tcW w:w="516" w:type="pct"/>
            <w:vMerge w:val="continue"/>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p>
        </w:tc>
        <w:tc>
          <w:tcPr>
            <w:tcW w:w="1821" w:type="pct"/>
            <w:vMerge w:val="continue"/>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p>
        </w:tc>
        <w:tc>
          <w:tcPr>
            <w:tcW w:w="1363" w:type="pct"/>
            <w:tcBorders>
              <w:top w:val="single" w:color="auto" w:sz="4" w:space="0"/>
              <w:left w:val="single" w:color="auto" w:sz="4" w:space="0"/>
              <w:right w:val="single" w:color="auto" w:sz="4" w:space="0"/>
            </w:tcBorders>
            <w:vAlign w:val="center"/>
          </w:tcPr>
          <w:p>
            <w:pPr>
              <w:jc w:val="center"/>
              <w:rPr>
                <w:color w:val="auto"/>
                <w:szCs w:val="21"/>
              </w:rPr>
            </w:pPr>
            <w:r>
              <w:rPr>
                <w:rFonts w:hint="eastAsia"/>
                <w:color w:val="auto"/>
                <w:szCs w:val="21"/>
              </w:rPr>
              <w:t>目前</w:t>
            </w:r>
            <w:r>
              <w:rPr>
                <w:rFonts w:hint="eastAsia" w:ascii="Times New Roman" w:hAnsi="Times New Roman"/>
                <w:color w:val="auto"/>
                <w:szCs w:val="21"/>
              </w:rPr>
              <w:t>采用外购混凝土经罐车拉至厂内，混凝土搅拌生产线不再建设，</w:t>
            </w:r>
            <w:r>
              <w:rPr>
                <w:rFonts w:hint="eastAsia"/>
                <w:color w:val="auto"/>
                <w:szCs w:val="21"/>
              </w:rPr>
              <w:t>不涉及</w:t>
            </w:r>
            <w:r>
              <w:rPr>
                <w:color w:val="auto"/>
                <w:szCs w:val="21"/>
              </w:rPr>
              <w:t>设备及地面冲洗废水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89"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326" w:type="pct"/>
            <w:tcBorders>
              <w:left w:val="single" w:color="auto" w:sz="4" w:space="0"/>
              <w:right w:val="single" w:color="auto" w:sz="4" w:space="0"/>
            </w:tcBorders>
            <w:vAlign w:val="center"/>
          </w:tcPr>
          <w:p>
            <w:pPr>
              <w:jc w:val="center"/>
              <w:rPr>
                <w:rFonts w:ascii="Times New Roman" w:hAnsi="Times New Roman"/>
                <w:color w:val="auto"/>
                <w:szCs w:val="21"/>
              </w:rPr>
            </w:pPr>
            <w:r>
              <w:rPr>
                <w:rFonts w:hint="eastAsia" w:ascii="Times New Roman" w:hAnsi="Times New Roman"/>
                <w:color w:val="auto"/>
                <w:szCs w:val="21"/>
              </w:rPr>
              <w:t>13</w:t>
            </w:r>
          </w:p>
        </w:tc>
        <w:tc>
          <w:tcPr>
            <w:tcW w:w="681" w:type="pct"/>
            <w:gridSpan w:val="2"/>
            <w:tcBorders>
              <w:top w:val="single" w:color="auto" w:sz="4" w:space="0"/>
              <w:left w:val="single" w:color="auto" w:sz="4" w:space="0"/>
              <w:right w:val="single" w:color="auto" w:sz="4" w:space="0"/>
            </w:tcBorders>
            <w:vAlign w:val="center"/>
          </w:tcPr>
          <w:p>
            <w:pPr>
              <w:jc w:val="center"/>
              <w:rPr>
                <w:rFonts w:ascii="宋体" w:hAnsi="宋体" w:cs="宋体"/>
                <w:color w:val="auto"/>
                <w:spacing w:val="9"/>
                <w:szCs w:val="21"/>
              </w:rPr>
            </w:pPr>
            <w:r>
              <w:rPr>
                <w:rFonts w:ascii="Times New Roman" w:hAnsi="Times New Roman"/>
                <w:color w:val="auto"/>
                <w:szCs w:val="21"/>
              </w:rPr>
              <w:t>搅拌用水</w:t>
            </w:r>
          </w:p>
        </w:tc>
        <w:tc>
          <w:tcPr>
            <w:tcW w:w="516" w:type="pct"/>
            <w:vMerge w:val="continue"/>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p>
        </w:tc>
        <w:tc>
          <w:tcPr>
            <w:tcW w:w="1821" w:type="pct"/>
            <w:vMerge w:val="continue"/>
            <w:tcBorders>
              <w:top w:val="single" w:color="auto" w:sz="4" w:space="0"/>
              <w:left w:val="single" w:color="auto" w:sz="4" w:space="0"/>
              <w:right w:val="single" w:color="auto" w:sz="4" w:space="0"/>
            </w:tcBorders>
            <w:vAlign w:val="center"/>
          </w:tcPr>
          <w:p>
            <w:pPr>
              <w:jc w:val="center"/>
              <w:rPr>
                <w:rFonts w:ascii="宋体" w:hAnsi="宋体" w:cs="宋体"/>
                <w:color w:val="auto"/>
                <w:spacing w:val="10"/>
                <w:szCs w:val="21"/>
              </w:rPr>
            </w:pPr>
          </w:p>
        </w:tc>
        <w:tc>
          <w:tcPr>
            <w:tcW w:w="1363" w:type="pct"/>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r>
              <w:rPr>
                <w:rFonts w:hint="eastAsia"/>
                <w:color w:val="auto"/>
                <w:szCs w:val="21"/>
              </w:rPr>
              <w:t>目前</w:t>
            </w:r>
            <w:r>
              <w:rPr>
                <w:rFonts w:hint="eastAsia" w:ascii="Times New Roman" w:hAnsi="Times New Roman"/>
                <w:color w:val="auto"/>
                <w:szCs w:val="21"/>
              </w:rPr>
              <w:t>采用外购混凝土经罐车拉至厂内，混凝土搅拌生产线不再建设</w:t>
            </w:r>
            <w:r>
              <w:rPr>
                <w:rFonts w:hint="eastAsia"/>
                <w:color w:val="auto"/>
                <w:szCs w:val="21"/>
              </w:rPr>
              <w:t>，不进行搅拌。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89"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326" w:type="pct"/>
            <w:tcBorders>
              <w:left w:val="single" w:color="auto" w:sz="4" w:space="0"/>
              <w:right w:val="single" w:color="auto" w:sz="4" w:space="0"/>
            </w:tcBorders>
            <w:vAlign w:val="center"/>
          </w:tcPr>
          <w:p>
            <w:pPr>
              <w:jc w:val="center"/>
              <w:rPr>
                <w:color w:val="auto"/>
                <w:szCs w:val="21"/>
              </w:rPr>
            </w:pPr>
            <w:r>
              <w:rPr>
                <w:rFonts w:hint="eastAsia"/>
                <w:color w:val="auto"/>
                <w:szCs w:val="21"/>
              </w:rPr>
              <w:t>14</w:t>
            </w:r>
          </w:p>
        </w:tc>
        <w:tc>
          <w:tcPr>
            <w:tcW w:w="681" w:type="pct"/>
            <w:gridSpan w:val="2"/>
            <w:tcBorders>
              <w:top w:val="single" w:color="auto" w:sz="4" w:space="0"/>
              <w:left w:val="single" w:color="auto" w:sz="4" w:space="0"/>
              <w:right w:val="single" w:color="auto" w:sz="4" w:space="0"/>
            </w:tcBorders>
            <w:vAlign w:val="center"/>
          </w:tcPr>
          <w:p>
            <w:pPr>
              <w:jc w:val="center"/>
              <w:rPr>
                <w:rFonts w:ascii="宋体" w:hAnsi="宋体" w:cs="宋体"/>
                <w:color w:val="auto"/>
                <w:spacing w:val="9"/>
                <w:szCs w:val="21"/>
              </w:rPr>
            </w:pPr>
            <w:r>
              <w:rPr>
                <w:rFonts w:ascii="Times New Roman" w:hAnsi="Times New Roman"/>
                <w:color w:val="auto"/>
                <w:szCs w:val="21"/>
              </w:rPr>
              <w:t>养护废水</w:t>
            </w:r>
          </w:p>
        </w:tc>
        <w:tc>
          <w:tcPr>
            <w:tcW w:w="516" w:type="pct"/>
            <w:vMerge w:val="continue"/>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p>
        </w:tc>
        <w:tc>
          <w:tcPr>
            <w:tcW w:w="1821" w:type="pct"/>
            <w:tcBorders>
              <w:top w:val="single" w:color="auto" w:sz="4" w:space="0"/>
              <w:left w:val="single" w:color="auto" w:sz="4" w:space="0"/>
              <w:right w:val="single" w:color="auto" w:sz="4" w:space="0"/>
            </w:tcBorders>
            <w:vAlign w:val="center"/>
          </w:tcPr>
          <w:p>
            <w:pPr>
              <w:jc w:val="center"/>
              <w:rPr>
                <w:rFonts w:ascii="宋体" w:hAnsi="宋体" w:cs="宋体"/>
                <w:color w:val="auto"/>
                <w:spacing w:val="10"/>
                <w:szCs w:val="21"/>
              </w:rPr>
            </w:pPr>
            <w:r>
              <w:rPr>
                <w:rFonts w:ascii="Times New Roman" w:hAnsi="Times New Roman"/>
                <w:color w:val="auto"/>
                <w:szCs w:val="21"/>
              </w:rPr>
              <w:t>配套一座50m³的循环水池，循环利用</w:t>
            </w:r>
          </w:p>
        </w:tc>
        <w:tc>
          <w:tcPr>
            <w:tcW w:w="1363" w:type="pct"/>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r>
              <w:rPr>
                <w:rFonts w:hint="eastAsia" w:ascii="宋体" w:hAnsi="宋体" w:cs="宋体"/>
                <w:color w:val="auto"/>
                <w:kern w:val="0"/>
                <w:szCs w:val="21"/>
                <w:lang w:bidi="ar"/>
              </w:rPr>
              <w:t>已验收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289" w:type="pct"/>
            <w:vMerge w:val="restart"/>
            <w:tcBorders>
              <w:left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固废</w:t>
            </w:r>
          </w:p>
        </w:tc>
        <w:tc>
          <w:tcPr>
            <w:tcW w:w="326" w:type="pct"/>
            <w:tcBorders>
              <w:left w:val="single" w:color="auto" w:sz="4" w:space="0"/>
              <w:right w:val="single" w:color="auto" w:sz="4" w:space="0"/>
            </w:tcBorders>
            <w:vAlign w:val="center"/>
          </w:tcPr>
          <w:p>
            <w:pPr>
              <w:jc w:val="center"/>
              <w:rPr>
                <w:color w:val="auto"/>
                <w:szCs w:val="21"/>
              </w:rPr>
            </w:pPr>
            <w:r>
              <w:rPr>
                <w:rFonts w:hint="eastAsia"/>
                <w:color w:val="auto"/>
                <w:szCs w:val="21"/>
              </w:rPr>
              <w:t>15</w:t>
            </w:r>
          </w:p>
        </w:tc>
        <w:tc>
          <w:tcPr>
            <w:tcW w:w="237" w:type="pct"/>
            <w:vMerge w:val="restart"/>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r>
              <w:rPr>
                <w:rFonts w:hint="eastAsia" w:ascii="Times New Roman" w:hAnsi="Times New Roman"/>
                <w:color w:val="auto"/>
                <w:szCs w:val="21"/>
              </w:rPr>
              <w:t>一般固体废物</w:t>
            </w:r>
          </w:p>
          <w:p>
            <w:pPr>
              <w:adjustRightInd w:val="0"/>
              <w:snapToGrid w:val="0"/>
              <w:jc w:val="center"/>
              <w:rPr>
                <w:rFonts w:ascii="Times New Roman" w:hAnsi="Times New Roman"/>
                <w:color w:val="auto"/>
                <w:szCs w:val="21"/>
              </w:rPr>
            </w:pPr>
          </w:p>
        </w:tc>
        <w:tc>
          <w:tcPr>
            <w:tcW w:w="443" w:type="pct"/>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职工办公</w:t>
            </w:r>
          </w:p>
        </w:tc>
        <w:tc>
          <w:tcPr>
            <w:tcW w:w="516" w:type="pct"/>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生活垃圾</w:t>
            </w:r>
          </w:p>
        </w:tc>
        <w:tc>
          <w:tcPr>
            <w:tcW w:w="1821" w:type="pct"/>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kern w:val="10"/>
                <w:szCs w:val="21"/>
              </w:rPr>
              <w:t>办公区设垃圾桶收集，运至指定地点，委托当地环卫部门进行处理</w:t>
            </w:r>
          </w:p>
        </w:tc>
        <w:tc>
          <w:tcPr>
            <w:tcW w:w="1363" w:type="pct"/>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r>
              <w:rPr>
                <w:rFonts w:hint="eastAsia" w:ascii="宋体" w:hAnsi="宋体" w:cs="宋体"/>
                <w:color w:val="auto"/>
                <w:kern w:val="0"/>
                <w:szCs w:val="21"/>
                <w:lang w:bidi="ar"/>
              </w:rPr>
              <w:t>已验收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289"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326" w:type="pct"/>
            <w:tcBorders>
              <w:left w:val="single" w:color="auto" w:sz="4" w:space="0"/>
              <w:right w:val="single" w:color="auto" w:sz="4" w:space="0"/>
            </w:tcBorders>
            <w:vAlign w:val="center"/>
          </w:tcPr>
          <w:p>
            <w:pPr>
              <w:jc w:val="center"/>
              <w:rPr>
                <w:color w:val="auto"/>
                <w:szCs w:val="21"/>
              </w:rPr>
            </w:pPr>
            <w:r>
              <w:rPr>
                <w:rFonts w:hint="eastAsia"/>
                <w:color w:val="auto"/>
                <w:szCs w:val="21"/>
              </w:rPr>
              <w:t>16</w:t>
            </w:r>
          </w:p>
        </w:tc>
        <w:tc>
          <w:tcPr>
            <w:tcW w:w="237"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443" w:type="pct"/>
            <w:vMerge w:val="restart"/>
            <w:tcBorders>
              <w:left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下料、打磨</w:t>
            </w:r>
          </w:p>
          <w:p>
            <w:pPr>
              <w:jc w:val="center"/>
              <w:rPr>
                <w:rFonts w:ascii="Times New Roman" w:hAnsi="Times New Roman"/>
                <w:color w:val="auto"/>
                <w:szCs w:val="21"/>
              </w:rPr>
            </w:pPr>
          </w:p>
        </w:tc>
        <w:tc>
          <w:tcPr>
            <w:tcW w:w="516" w:type="pct"/>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kern w:val="10"/>
                <w:szCs w:val="21"/>
              </w:rPr>
              <w:t>钢材边角料</w:t>
            </w:r>
          </w:p>
        </w:tc>
        <w:tc>
          <w:tcPr>
            <w:tcW w:w="1821" w:type="pct"/>
            <w:vMerge w:val="restart"/>
            <w:tcBorders>
              <w:top w:val="single" w:color="auto" w:sz="4" w:space="0"/>
              <w:left w:val="single" w:color="auto" w:sz="4" w:space="0"/>
              <w:right w:val="single" w:color="auto" w:sz="4" w:space="0"/>
            </w:tcBorders>
            <w:vAlign w:val="center"/>
          </w:tcPr>
          <w:p>
            <w:pPr>
              <w:snapToGrid w:val="0"/>
              <w:jc w:val="center"/>
              <w:rPr>
                <w:rFonts w:ascii="Times New Roman" w:hAnsi="Times New Roman"/>
                <w:color w:val="auto"/>
                <w:spacing w:val="-10"/>
                <w:szCs w:val="21"/>
              </w:rPr>
            </w:pPr>
            <w:r>
              <w:rPr>
                <w:rFonts w:ascii="Times New Roman" w:hAnsi="Times New Roman"/>
                <w:color w:val="auto"/>
                <w:kern w:val="10"/>
                <w:szCs w:val="21"/>
              </w:rPr>
              <w:t>交由废旧物资回收单位回收利用</w:t>
            </w:r>
          </w:p>
          <w:p>
            <w:pPr>
              <w:snapToGrid w:val="0"/>
              <w:jc w:val="center"/>
              <w:rPr>
                <w:rFonts w:ascii="Times New Roman" w:hAnsi="Times New Roman"/>
                <w:color w:val="auto"/>
                <w:szCs w:val="21"/>
              </w:rPr>
            </w:pPr>
          </w:p>
        </w:tc>
        <w:tc>
          <w:tcPr>
            <w:tcW w:w="1363" w:type="pct"/>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r>
              <w:rPr>
                <w:rFonts w:hint="eastAsia" w:ascii="宋体" w:hAnsi="宋体" w:cs="宋体"/>
                <w:color w:val="auto"/>
                <w:kern w:val="0"/>
                <w:szCs w:val="21"/>
                <w:lang w:bidi="ar"/>
              </w:rPr>
              <w:t>已验收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289"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326" w:type="pct"/>
            <w:tcBorders>
              <w:left w:val="single" w:color="auto" w:sz="4" w:space="0"/>
              <w:right w:val="single" w:color="auto" w:sz="4" w:space="0"/>
            </w:tcBorders>
            <w:vAlign w:val="center"/>
          </w:tcPr>
          <w:p>
            <w:pPr>
              <w:jc w:val="center"/>
              <w:rPr>
                <w:color w:val="auto"/>
                <w:szCs w:val="21"/>
              </w:rPr>
            </w:pPr>
            <w:r>
              <w:rPr>
                <w:rFonts w:hint="eastAsia"/>
                <w:color w:val="auto"/>
                <w:szCs w:val="21"/>
              </w:rPr>
              <w:t>17</w:t>
            </w:r>
          </w:p>
        </w:tc>
        <w:tc>
          <w:tcPr>
            <w:tcW w:w="237"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443"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516" w:type="pct"/>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kern w:val="10"/>
                <w:szCs w:val="21"/>
              </w:rPr>
              <w:t>金属粉尘</w:t>
            </w:r>
          </w:p>
        </w:tc>
        <w:tc>
          <w:tcPr>
            <w:tcW w:w="1821"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1363" w:type="pct"/>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r>
              <w:rPr>
                <w:rFonts w:hint="eastAsia" w:ascii="宋体" w:hAnsi="宋体" w:cs="宋体"/>
                <w:color w:val="auto"/>
                <w:kern w:val="0"/>
                <w:szCs w:val="21"/>
                <w:lang w:bidi="ar"/>
              </w:rPr>
              <w:t>已验收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289"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326" w:type="pct"/>
            <w:tcBorders>
              <w:left w:val="single" w:color="auto" w:sz="4" w:space="0"/>
              <w:right w:val="single" w:color="auto" w:sz="4" w:space="0"/>
            </w:tcBorders>
            <w:vAlign w:val="center"/>
          </w:tcPr>
          <w:p>
            <w:pPr>
              <w:jc w:val="center"/>
              <w:rPr>
                <w:color w:val="auto"/>
                <w:szCs w:val="21"/>
              </w:rPr>
            </w:pPr>
            <w:r>
              <w:rPr>
                <w:rFonts w:hint="eastAsia"/>
                <w:color w:val="auto"/>
                <w:szCs w:val="21"/>
              </w:rPr>
              <w:t>18</w:t>
            </w:r>
          </w:p>
        </w:tc>
        <w:tc>
          <w:tcPr>
            <w:tcW w:w="237" w:type="pct"/>
            <w:vMerge w:val="continue"/>
            <w:tcBorders>
              <w:left w:val="single" w:color="auto" w:sz="4" w:space="0"/>
              <w:right w:val="single" w:color="auto" w:sz="4" w:space="0"/>
            </w:tcBorders>
            <w:vAlign w:val="center"/>
          </w:tcPr>
          <w:p>
            <w:pPr>
              <w:adjustRightInd w:val="0"/>
              <w:snapToGrid w:val="0"/>
              <w:jc w:val="center"/>
              <w:rPr>
                <w:rFonts w:ascii="Times New Roman" w:hAnsi="Times New Roman"/>
                <w:color w:val="auto"/>
                <w:szCs w:val="21"/>
              </w:rPr>
            </w:pPr>
          </w:p>
        </w:tc>
        <w:tc>
          <w:tcPr>
            <w:tcW w:w="443" w:type="pct"/>
            <w:tcBorders>
              <w:left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焊接</w:t>
            </w:r>
          </w:p>
        </w:tc>
        <w:tc>
          <w:tcPr>
            <w:tcW w:w="516" w:type="pct"/>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kern w:val="10"/>
                <w:szCs w:val="21"/>
              </w:rPr>
              <w:t>废焊丝</w:t>
            </w:r>
          </w:p>
        </w:tc>
        <w:tc>
          <w:tcPr>
            <w:tcW w:w="1821"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1363" w:type="pct"/>
            <w:tcBorders>
              <w:left w:val="single" w:color="auto" w:sz="4" w:space="0"/>
              <w:right w:val="single" w:color="auto" w:sz="4" w:space="0"/>
            </w:tcBorders>
            <w:vAlign w:val="center"/>
          </w:tcPr>
          <w:p>
            <w:pPr>
              <w:jc w:val="center"/>
              <w:rPr>
                <w:rFonts w:ascii="Times New Roman" w:hAnsi="Times New Roman"/>
                <w:color w:val="auto"/>
                <w:szCs w:val="21"/>
              </w:rPr>
            </w:pPr>
            <w:r>
              <w:rPr>
                <w:rFonts w:hint="eastAsia" w:ascii="宋体" w:hAnsi="宋体" w:cs="宋体"/>
                <w:color w:val="auto"/>
                <w:kern w:val="0"/>
                <w:szCs w:val="21"/>
                <w:lang w:bidi="ar"/>
              </w:rPr>
              <w:t>已验收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289"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326" w:type="pct"/>
            <w:tcBorders>
              <w:left w:val="single" w:color="auto" w:sz="4" w:space="0"/>
              <w:right w:val="single" w:color="auto" w:sz="4" w:space="0"/>
            </w:tcBorders>
            <w:vAlign w:val="center"/>
          </w:tcPr>
          <w:p>
            <w:pPr>
              <w:jc w:val="center"/>
              <w:rPr>
                <w:color w:val="auto"/>
                <w:szCs w:val="21"/>
              </w:rPr>
            </w:pPr>
            <w:r>
              <w:rPr>
                <w:rFonts w:hint="eastAsia"/>
                <w:color w:val="auto"/>
                <w:szCs w:val="21"/>
              </w:rPr>
              <w:t>19</w:t>
            </w:r>
          </w:p>
        </w:tc>
        <w:tc>
          <w:tcPr>
            <w:tcW w:w="237" w:type="pct"/>
            <w:vMerge w:val="continue"/>
            <w:tcBorders>
              <w:left w:val="single" w:color="auto" w:sz="4" w:space="0"/>
              <w:right w:val="single" w:color="auto" w:sz="4" w:space="0"/>
            </w:tcBorders>
            <w:vAlign w:val="center"/>
          </w:tcPr>
          <w:p>
            <w:pPr>
              <w:adjustRightInd w:val="0"/>
              <w:snapToGrid w:val="0"/>
              <w:jc w:val="center"/>
              <w:rPr>
                <w:rFonts w:ascii="Times New Roman" w:hAnsi="Times New Roman"/>
                <w:color w:val="auto"/>
                <w:szCs w:val="21"/>
              </w:rPr>
            </w:pPr>
          </w:p>
        </w:tc>
        <w:tc>
          <w:tcPr>
            <w:tcW w:w="443" w:type="pct"/>
            <w:tcBorders>
              <w:left w:val="single" w:color="auto" w:sz="4" w:space="0"/>
              <w:right w:val="single" w:color="auto" w:sz="4" w:space="0"/>
            </w:tcBorders>
            <w:vAlign w:val="center"/>
          </w:tcPr>
          <w:p>
            <w:pPr>
              <w:snapToGrid w:val="0"/>
              <w:jc w:val="center"/>
              <w:rPr>
                <w:rFonts w:ascii="Times New Roman" w:hAnsi="Times New Roman"/>
                <w:color w:val="auto"/>
                <w:szCs w:val="21"/>
              </w:rPr>
            </w:pPr>
            <w:r>
              <w:rPr>
                <w:rFonts w:ascii="Times New Roman" w:hAnsi="Times New Roman"/>
                <w:color w:val="auto"/>
                <w:szCs w:val="21"/>
              </w:rPr>
              <w:t>除尘器</w:t>
            </w:r>
          </w:p>
        </w:tc>
        <w:tc>
          <w:tcPr>
            <w:tcW w:w="516" w:type="pct"/>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kern w:val="10"/>
                <w:szCs w:val="21"/>
              </w:rPr>
              <w:t>除尘灰</w:t>
            </w:r>
          </w:p>
        </w:tc>
        <w:tc>
          <w:tcPr>
            <w:tcW w:w="1821" w:type="pct"/>
            <w:tcBorders>
              <w:left w:val="single" w:color="auto" w:sz="4" w:space="0"/>
              <w:right w:val="single" w:color="auto" w:sz="4" w:space="0"/>
            </w:tcBorders>
            <w:vAlign w:val="center"/>
          </w:tcPr>
          <w:p>
            <w:pPr>
              <w:snapToGrid w:val="0"/>
              <w:jc w:val="center"/>
              <w:rPr>
                <w:rFonts w:ascii="Times New Roman" w:hAnsi="Times New Roman"/>
                <w:color w:val="auto"/>
                <w:szCs w:val="21"/>
              </w:rPr>
            </w:pPr>
            <w:r>
              <w:rPr>
                <w:rFonts w:ascii="Times New Roman" w:hAnsi="Times New Roman"/>
                <w:color w:val="auto"/>
                <w:szCs w:val="21"/>
              </w:rPr>
              <w:t>回用于生产</w:t>
            </w:r>
          </w:p>
        </w:tc>
        <w:tc>
          <w:tcPr>
            <w:tcW w:w="1363" w:type="pct"/>
            <w:tcBorders>
              <w:left w:val="single" w:color="auto" w:sz="4" w:space="0"/>
              <w:right w:val="single" w:color="auto" w:sz="4" w:space="0"/>
            </w:tcBorders>
            <w:vAlign w:val="center"/>
          </w:tcPr>
          <w:p>
            <w:pPr>
              <w:jc w:val="center"/>
              <w:rPr>
                <w:rFonts w:ascii="Times New Roman" w:hAnsi="Times New Roman"/>
                <w:color w:val="auto"/>
                <w:szCs w:val="21"/>
              </w:rPr>
            </w:pPr>
            <w:r>
              <w:rPr>
                <w:rFonts w:hint="eastAsia" w:ascii="宋体" w:hAnsi="宋体" w:cs="宋体"/>
                <w:color w:val="auto"/>
                <w:kern w:val="0"/>
                <w:szCs w:val="21"/>
                <w:lang w:bidi="ar"/>
              </w:rPr>
              <w:t>已验收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289"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326" w:type="pct"/>
            <w:tcBorders>
              <w:left w:val="single" w:color="auto" w:sz="4" w:space="0"/>
              <w:right w:val="single" w:color="auto" w:sz="4" w:space="0"/>
            </w:tcBorders>
            <w:vAlign w:val="center"/>
          </w:tcPr>
          <w:p>
            <w:pPr>
              <w:jc w:val="center"/>
              <w:rPr>
                <w:color w:val="auto"/>
                <w:szCs w:val="21"/>
              </w:rPr>
            </w:pPr>
            <w:r>
              <w:rPr>
                <w:rFonts w:hint="eastAsia"/>
                <w:color w:val="auto"/>
                <w:szCs w:val="21"/>
              </w:rPr>
              <w:t>20</w:t>
            </w:r>
          </w:p>
        </w:tc>
        <w:tc>
          <w:tcPr>
            <w:tcW w:w="237" w:type="pct"/>
            <w:vMerge w:val="restart"/>
            <w:tcBorders>
              <w:left w:val="single" w:color="auto" w:sz="4" w:space="0"/>
              <w:right w:val="single" w:color="auto" w:sz="4" w:space="0"/>
            </w:tcBorders>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危险废物</w:t>
            </w:r>
          </w:p>
        </w:tc>
        <w:tc>
          <w:tcPr>
            <w:tcW w:w="443" w:type="pct"/>
            <w:vMerge w:val="restart"/>
            <w:tcBorders>
              <w:left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设备维修</w:t>
            </w:r>
          </w:p>
          <w:p>
            <w:pPr>
              <w:jc w:val="center"/>
              <w:rPr>
                <w:rFonts w:ascii="Times New Roman" w:hAnsi="Times New Roman"/>
                <w:color w:val="auto"/>
                <w:szCs w:val="21"/>
              </w:rPr>
            </w:pPr>
          </w:p>
        </w:tc>
        <w:tc>
          <w:tcPr>
            <w:tcW w:w="516" w:type="pct"/>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kern w:val="10"/>
                <w:szCs w:val="21"/>
              </w:rPr>
              <w:t>废棉纱</w:t>
            </w:r>
          </w:p>
        </w:tc>
        <w:tc>
          <w:tcPr>
            <w:tcW w:w="1821" w:type="pct"/>
            <w:vMerge w:val="restart"/>
            <w:tcBorders>
              <w:left w:val="single" w:color="auto" w:sz="4" w:space="0"/>
              <w:right w:val="single" w:color="auto" w:sz="4" w:space="0"/>
            </w:tcBorders>
            <w:vAlign w:val="center"/>
          </w:tcPr>
          <w:p>
            <w:pPr>
              <w:snapToGrid w:val="0"/>
              <w:jc w:val="center"/>
              <w:rPr>
                <w:rFonts w:ascii="Times New Roman" w:hAnsi="Times New Roman"/>
                <w:color w:val="auto"/>
                <w:szCs w:val="21"/>
              </w:rPr>
            </w:pPr>
            <w:r>
              <w:rPr>
                <w:rFonts w:ascii="Times New Roman" w:hAnsi="Times New Roman"/>
                <w:bCs/>
                <w:color w:val="auto"/>
                <w:szCs w:val="21"/>
              </w:rPr>
              <w:t>设置一座30</w:t>
            </w:r>
            <w:r>
              <w:rPr>
                <w:rFonts w:hint="eastAsia" w:ascii="Times New Roman" w:hAnsi="Times New Roman"/>
                <w:bCs/>
                <w:color w:val="auto"/>
                <w:szCs w:val="21"/>
              </w:rPr>
              <w:t>m</w:t>
            </w:r>
            <w:r>
              <w:rPr>
                <w:rFonts w:hint="eastAsia" w:ascii="Times New Roman" w:hAnsi="Times New Roman"/>
                <w:bCs/>
                <w:color w:val="auto"/>
                <w:szCs w:val="21"/>
                <w:vertAlign w:val="superscript"/>
              </w:rPr>
              <w:t>2</w:t>
            </w:r>
            <w:r>
              <w:rPr>
                <w:rFonts w:ascii="Times New Roman" w:hAnsi="Times New Roman"/>
                <w:bCs/>
                <w:color w:val="auto"/>
                <w:szCs w:val="21"/>
              </w:rPr>
              <w:t>的危废暂存间，危废统一收集暂存于危废暂存间，定期交由有资质单位处理</w:t>
            </w:r>
          </w:p>
        </w:tc>
        <w:tc>
          <w:tcPr>
            <w:tcW w:w="1363" w:type="pct"/>
            <w:tcBorders>
              <w:left w:val="single" w:color="auto" w:sz="4" w:space="0"/>
              <w:right w:val="single" w:color="auto" w:sz="4" w:space="0"/>
            </w:tcBorders>
            <w:vAlign w:val="center"/>
          </w:tcPr>
          <w:p>
            <w:pPr>
              <w:jc w:val="center"/>
              <w:rPr>
                <w:rFonts w:ascii="Times New Roman" w:hAnsi="Times New Roman"/>
                <w:color w:val="auto"/>
                <w:szCs w:val="21"/>
              </w:rPr>
            </w:pPr>
            <w:r>
              <w:rPr>
                <w:rFonts w:hint="eastAsia" w:ascii="宋体" w:hAnsi="宋体" w:cs="宋体"/>
                <w:color w:val="auto"/>
                <w:kern w:val="0"/>
                <w:szCs w:val="21"/>
                <w:lang w:bidi="ar"/>
              </w:rPr>
              <w:t>已验收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289"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326" w:type="pct"/>
            <w:tcBorders>
              <w:left w:val="single" w:color="auto" w:sz="4" w:space="0"/>
              <w:right w:val="single" w:color="auto" w:sz="4" w:space="0"/>
            </w:tcBorders>
            <w:vAlign w:val="center"/>
          </w:tcPr>
          <w:p>
            <w:pPr>
              <w:jc w:val="center"/>
              <w:rPr>
                <w:color w:val="auto"/>
                <w:szCs w:val="21"/>
              </w:rPr>
            </w:pPr>
            <w:r>
              <w:rPr>
                <w:rFonts w:hint="eastAsia"/>
                <w:color w:val="auto"/>
                <w:szCs w:val="21"/>
              </w:rPr>
              <w:t>21</w:t>
            </w:r>
          </w:p>
        </w:tc>
        <w:tc>
          <w:tcPr>
            <w:tcW w:w="237" w:type="pct"/>
            <w:vMerge w:val="continue"/>
            <w:tcBorders>
              <w:left w:val="single" w:color="auto" w:sz="4" w:space="0"/>
              <w:right w:val="single" w:color="auto" w:sz="4" w:space="0"/>
            </w:tcBorders>
            <w:vAlign w:val="center"/>
          </w:tcPr>
          <w:p>
            <w:pPr>
              <w:adjustRightInd w:val="0"/>
              <w:snapToGrid w:val="0"/>
              <w:jc w:val="center"/>
              <w:rPr>
                <w:rFonts w:ascii="Times New Roman" w:hAnsi="Times New Roman"/>
                <w:color w:val="auto"/>
                <w:szCs w:val="21"/>
              </w:rPr>
            </w:pPr>
          </w:p>
        </w:tc>
        <w:tc>
          <w:tcPr>
            <w:tcW w:w="443"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516" w:type="pct"/>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kern w:val="10"/>
                <w:szCs w:val="21"/>
              </w:rPr>
              <w:t>废机油</w:t>
            </w:r>
          </w:p>
        </w:tc>
        <w:tc>
          <w:tcPr>
            <w:tcW w:w="1821"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1363" w:type="pct"/>
            <w:tcBorders>
              <w:left w:val="single" w:color="auto" w:sz="4" w:space="0"/>
              <w:right w:val="single" w:color="auto" w:sz="4" w:space="0"/>
            </w:tcBorders>
            <w:vAlign w:val="center"/>
          </w:tcPr>
          <w:p>
            <w:pPr>
              <w:jc w:val="center"/>
              <w:rPr>
                <w:rFonts w:ascii="Times New Roman" w:hAnsi="Times New Roman"/>
                <w:color w:val="auto"/>
                <w:szCs w:val="21"/>
              </w:rPr>
            </w:pPr>
            <w:r>
              <w:rPr>
                <w:rFonts w:hint="eastAsia" w:ascii="宋体" w:hAnsi="宋体" w:cs="宋体"/>
                <w:color w:val="auto"/>
                <w:kern w:val="0"/>
                <w:szCs w:val="21"/>
                <w:lang w:bidi="ar"/>
              </w:rPr>
              <w:t>已验收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289"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326" w:type="pct"/>
            <w:tcBorders>
              <w:left w:val="single" w:color="auto" w:sz="4" w:space="0"/>
              <w:right w:val="single" w:color="auto" w:sz="4" w:space="0"/>
            </w:tcBorders>
            <w:vAlign w:val="center"/>
          </w:tcPr>
          <w:p>
            <w:pPr>
              <w:jc w:val="center"/>
              <w:rPr>
                <w:color w:val="auto"/>
                <w:szCs w:val="21"/>
              </w:rPr>
            </w:pPr>
            <w:r>
              <w:rPr>
                <w:rFonts w:hint="eastAsia"/>
                <w:color w:val="auto"/>
                <w:szCs w:val="21"/>
              </w:rPr>
              <w:t>22</w:t>
            </w:r>
          </w:p>
        </w:tc>
        <w:tc>
          <w:tcPr>
            <w:tcW w:w="237" w:type="pct"/>
            <w:vMerge w:val="continue"/>
            <w:tcBorders>
              <w:left w:val="single" w:color="auto" w:sz="4" w:space="0"/>
              <w:right w:val="single" w:color="auto" w:sz="4" w:space="0"/>
            </w:tcBorders>
            <w:vAlign w:val="center"/>
          </w:tcPr>
          <w:p>
            <w:pPr>
              <w:adjustRightInd w:val="0"/>
              <w:snapToGrid w:val="0"/>
              <w:jc w:val="center"/>
              <w:rPr>
                <w:rFonts w:ascii="Times New Roman" w:hAnsi="Times New Roman"/>
                <w:color w:val="auto"/>
                <w:szCs w:val="21"/>
              </w:rPr>
            </w:pPr>
          </w:p>
        </w:tc>
        <w:tc>
          <w:tcPr>
            <w:tcW w:w="443"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516" w:type="pct"/>
            <w:tcBorders>
              <w:top w:val="single" w:color="auto" w:sz="4" w:space="0"/>
              <w:left w:val="single" w:color="auto" w:sz="4" w:space="0"/>
              <w:right w:val="single" w:color="auto" w:sz="4" w:space="0"/>
            </w:tcBorders>
            <w:vAlign w:val="center"/>
          </w:tcPr>
          <w:p>
            <w:pPr>
              <w:jc w:val="center"/>
              <w:rPr>
                <w:rFonts w:ascii="Times New Roman" w:hAnsi="Times New Roman"/>
                <w:color w:val="auto"/>
                <w:kern w:val="10"/>
                <w:szCs w:val="21"/>
              </w:rPr>
            </w:pPr>
            <w:r>
              <w:rPr>
                <w:rFonts w:ascii="Times New Roman" w:hAnsi="Times New Roman"/>
                <w:color w:val="auto"/>
                <w:kern w:val="10"/>
                <w:szCs w:val="21"/>
              </w:rPr>
              <w:t>废机油桶</w:t>
            </w:r>
          </w:p>
        </w:tc>
        <w:tc>
          <w:tcPr>
            <w:tcW w:w="1821"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1363" w:type="pct"/>
            <w:tcBorders>
              <w:left w:val="single" w:color="auto" w:sz="4" w:space="0"/>
              <w:right w:val="single" w:color="auto" w:sz="4" w:space="0"/>
            </w:tcBorders>
            <w:vAlign w:val="center"/>
          </w:tcPr>
          <w:p>
            <w:pPr>
              <w:jc w:val="center"/>
              <w:rPr>
                <w:rFonts w:ascii="Times New Roman" w:hAnsi="Times New Roman"/>
                <w:color w:val="auto"/>
                <w:szCs w:val="21"/>
              </w:rPr>
            </w:pPr>
            <w:r>
              <w:rPr>
                <w:rFonts w:hint="eastAsia" w:ascii="宋体" w:hAnsi="宋体" w:cs="宋体"/>
                <w:color w:val="auto"/>
                <w:kern w:val="0"/>
                <w:szCs w:val="21"/>
                <w:lang w:bidi="ar"/>
              </w:rPr>
              <w:t>已验收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289"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326" w:type="pct"/>
            <w:tcBorders>
              <w:left w:val="single" w:color="auto" w:sz="4" w:space="0"/>
              <w:right w:val="single" w:color="auto" w:sz="4" w:space="0"/>
            </w:tcBorders>
            <w:vAlign w:val="center"/>
          </w:tcPr>
          <w:p>
            <w:pPr>
              <w:jc w:val="center"/>
              <w:rPr>
                <w:color w:val="auto"/>
                <w:szCs w:val="21"/>
              </w:rPr>
            </w:pPr>
            <w:r>
              <w:rPr>
                <w:rFonts w:hint="eastAsia"/>
                <w:color w:val="auto"/>
                <w:szCs w:val="21"/>
              </w:rPr>
              <w:t>23</w:t>
            </w:r>
          </w:p>
        </w:tc>
        <w:tc>
          <w:tcPr>
            <w:tcW w:w="237" w:type="pct"/>
            <w:vMerge w:val="continue"/>
            <w:tcBorders>
              <w:left w:val="single" w:color="auto" w:sz="4" w:space="0"/>
              <w:right w:val="single" w:color="auto" w:sz="4" w:space="0"/>
            </w:tcBorders>
            <w:vAlign w:val="center"/>
          </w:tcPr>
          <w:p>
            <w:pPr>
              <w:adjustRightInd w:val="0"/>
              <w:snapToGrid w:val="0"/>
              <w:jc w:val="center"/>
              <w:rPr>
                <w:rFonts w:ascii="Times New Roman" w:hAnsi="Times New Roman"/>
                <w:color w:val="auto"/>
                <w:szCs w:val="21"/>
              </w:rPr>
            </w:pPr>
          </w:p>
        </w:tc>
        <w:tc>
          <w:tcPr>
            <w:tcW w:w="443" w:type="pct"/>
            <w:tcBorders>
              <w:left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切割机</w:t>
            </w:r>
          </w:p>
        </w:tc>
        <w:tc>
          <w:tcPr>
            <w:tcW w:w="516" w:type="pct"/>
            <w:tcBorders>
              <w:top w:val="single" w:color="auto" w:sz="4" w:space="0"/>
              <w:left w:val="single" w:color="auto" w:sz="4" w:space="0"/>
              <w:right w:val="single" w:color="auto" w:sz="4" w:space="0"/>
            </w:tcBorders>
            <w:vAlign w:val="center"/>
          </w:tcPr>
          <w:p>
            <w:pPr>
              <w:jc w:val="center"/>
              <w:rPr>
                <w:rFonts w:ascii="Times New Roman" w:hAnsi="Times New Roman"/>
                <w:color w:val="auto"/>
                <w:kern w:val="10"/>
                <w:szCs w:val="21"/>
              </w:rPr>
            </w:pPr>
            <w:r>
              <w:rPr>
                <w:rFonts w:ascii="Times New Roman" w:hAnsi="Times New Roman"/>
                <w:color w:val="auto"/>
                <w:kern w:val="10"/>
                <w:szCs w:val="21"/>
              </w:rPr>
              <w:t>废乳化液</w:t>
            </w:r>
          </w:p>
        </w:tc>
        <w:tc>
          <w:tcPr>
            <w:tcW w:w="1821"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1363" w:type="pct"/>
            <w:tcBorders>
              <w:left w:val="single" w:color="auto" w:sz="4" w:space="0"/>
              <w:right w:val="single" w:color="auto" w:sz="4" w:space="0"/>
            </w:tcBorders>
            <w:vAlign w:val="center"/>
          </w:tcPr>
          <w:p>
            <w:pPr>
              <w:jc w:val="center"/>
              <w:rPr>
                <w:rFonts w:ascii="Times New Roman" w:hAnsi="Times New Roman"/>
                <w:color w:val="auto"/>
                <w:szCs w:val="21"/>
              </w:rPr>
            </w:pPr>
            <w:r>
              <w:rPr>
                <w:rFonts w:hint="eastAsia" w:ascii="宋体" w:hAnsi="宋体" w:cs="宋体"/>
                <w:color w:val="auto"/>
                <w:kern w:val="0"/>
                <w:szCs w:val="21"/>
                <w:lang w:bidi="ar"/>
              </w:rPr>
              <w:t>已验收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289"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326" w:type="pct"/>
            <w:tcBorders>
              <w:left w:val="single" w:color="auto" w:sz="4" w:space="0"/>
              <w:right w:val="single" w:color="auto" w:sz="4" w:space="0"/>
            </w:tcBorders>
            <w:vAlign w:val="center"/>
          </w:tcPr>
          <w:p>
            <w:pPr>
              <w:jc w:val="center"/>
              <w:rPr>
                <w:color w:val="auto"/>
                <w:szCs w:val="21"/>
              </w:rPr>
            </w:pPr>
            <w:r>
              <w:rPr>
                <w:rFonts w:hint="eastAsia"/>
                <w:color w:val="auto"/>
                <w:szCs w:val="21"/>
              </w:rPr>
              <w:t>24</w:t>
            </w:r>
          </w:p>
        </w:tc>
        <w:tc>
          <w:tcPr>
            <w:tcW w:w="237" w:type="pct"/>
            <w:vMerge w:val="continue"/>
            <w:tcBorders>
              <w:left w:val="single" w:color="auto" w:sz="4" w:space="0"/>
              <w:right w:val="single" w:color="auto" w:sz="4" w:space="0"/>
            </w:tcBorders>
            <w:vAlign w:val="center"/>
          </w:tcPr>
          <w:p>
            <w:pPr>
              <w:adjustRightInd w:val="0"/>
              <w:snapToGrid w:val="0"/>
              <w:jc w:val="center"/>
              <w:rPr>
                <w:rFonts w:ascii="Times New Roman" w:hAnsi="Times New Roman"/>
                <w:color w:val="auto"/>
                <w:szCs w:val="21"/>
              </w:rPr>
            </w:pPr>
          </w:p>
        </w:tc>
        <w:tc>
          <w:tcPr>
            <w:tcW w:w="443" w:type="pct"/>
            <w:tcBorders>
              <w:left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喷漆废气处理系统</w:t>
            </w:r>
          </w:p>
        </w:tc>
        <w:tc>
          <w:tcPr>
            <w:tcW w:w="516" w:type="pct"/>
            <w:tcBorders>
              <w:top w:val="single" w:color="auto" w:sz="4" w:space="0"/>
              <w:left w:val="single" w:color="auto" w:sz="4" w:space="0"/>
              <w:right w:val="single" w:color="auto" w:sz="4" w:space="0"/>
            </w:tcBorders>
            <w:vAlign w:val="center"/>
          </w:tcPr>
          <w:p>
            <w:pPr>
              <w:jc w:val="center"/>
              <w:rPr>
                <w:rFonts w:ascii="Times New Roman" w:hAnsi="Times New Roman"/>
                <w:color w:val="auto"/>
                <w:kern w:val="10"/>
                <w:szCs w:val="21"/>
              </w:rPr>
            </w:pPr>
            <w:r>
              <w:rPr>
                <w:rFonts w:ascii="Times New Roman" w:hAnsi="Times New Roman"/>
                <w:color w:val="auto"/>
                <w:kern w:val="10"/>
                <w:szCs w:val="21"/>
              </w:rPr>
              <w:t>废活性炭</w:t>
            </w:r>
          </w:p>
        </w:tc>
        <w:tc>
          <w:tcPr>
            <w:tcW w:w="1821" w:type="pct"/>
            <w:vMerge w:val="continue"/>
            <w:tcBorders>
              <w:left w:val="single" w:color="auto" w:sz="4" w:space="0"/>
              <w:right w:val="single" w:color="auto" w:sz="4" w:space="0"/>
            </w:tcBorders>
            <w:vAlign w:val="center"/>
          </w:tcPr>
          <w:p>
            <w:pPr>
              <w:jc w:val="center"/>
              <w:rPr>
                <w:rFonts w:ascii="Times New Roman" w:hAnsi="Times New Roman"/>
                <w:color w:val="auto"/>
                <w:szCs w:val="21"/>
              </w:rPr>
            </w:pPr>
          </w:p>
        </w:tc>
        <w:tc>
          <w:tcPr>
            <w:tcW w:w="1363" w:type="pct"/>
            <w:tcBorders>
              <w:left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按环评要求完成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89" w:type="pct"/>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噪声</w:t>
            </w:r>
          </w:p>
        </w:tc>
        <w:tc>
          <w:tcPr>
            <w:tcW w:w="326" w:type="pct"/>
            <w:tcBorders>
              <w:top w:val="single" w:color="auto" w:sz="4" w:space="0"/>
              <w:left w:val="single" w:color="auto" w:sz="4" w:space="0"/>
              <w:right w:val="single" w:color="auto" w:sz="4" w:space="0"/>
            </w:tcBorders>
            <w:vAlign w:val="center"/>
          </w:tcPr>
          <w:p>
            <w:pPr>
              <w:jc w:val="center"/>
              <w:rPr>
                <w:color w:val="auto"/>
                <w:szCs w:val="21"/>
              </w:rPr>
            </w:pPr>
            <w:r>
              <w:rPr>
                <w:rFonts w:hint="eastAsia"/>
                <w:color w:val="auto"/>
                <w:szCs w:val="21"/>
              </w:rPr>
              <w:t>25</w:t>
            </w:r>
          </w:p>
        </w:tc>
        <w:tc>
          <w:tcPr>
            <w:tcW w:w="681"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设备运行</w:t>
            </w:r>
          </w:p>
        </w:tc>
        <w:tc>
          <w:tcPr>
            <w:tcW w:w="516" w:type="pct"/>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噪声</w:t>
            </w:r>
          </w:p>
        </w:tc>
        <w:tc>
          <w:tcPr>
            <w:tcW w:w="1821" w:type="pct"/>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基础减震、厂房屏蔽、定期维护、入厂车辆禁止鸣笛</w:t>
            </w:r>
          </w:p>
        </w:tc>
        <w:tc>
          <w:tcPr>
            <w:tcW w:w="1363" w:type="pct"/>
            <w:tcBorders>
              <w:top w:val="single" w:color="auto" w:sz="4" w:space="0"/>
              <w:left w:val="single" w:color="auto" w:sz="4" w:space="0"/>
              <w:right w:val="single" w:color="auto" w:sz="4" w:space="0"/>
            </w:tcBorders>
            <w:vAlign w:val="center"/>
          </w:tcPr>
          <w:p>
            <w:pPr>
              <w:jc w:val="center"/>
              <w:rPr>
                <w:rFonts w:ascii="Times New Roman" w:hAnsi="Times New Roman"/>
                <w:color w:val="auto"/>
                <w:szCs w:val="21"/>
              </w:rPr>
            </w:pPr>
            <w:r>
              <w:rPr>
                <w:rFonts w:ascii="Times New Roman" w:hAnsi="Times New Roman"/>
                <w:color w:val="auto"/>
                <w:szCs w:val="21"/>
              </w:rPr>
              <w:t>按环评要求完成</w:t>
            </w:r>
          </w:p>
        </w:tc>
      </w:tr>
    </w:tbl>
    <w:p>
      <w:pPr>
        <w:pStyle w:val="17"/>
        <w:jc w:val="center"/>
        <w:rPr>
          <w:color w:val="auto"/>
          <w:sz w:val="28"/>
          <w:szCs w:val="28"/>
        </w:rPr>
      </w:pPr>
      <w:r>
        <w:rPr>
          <w:rFonts w:hint="eastAsia"/>
          <w:color w:val="auto"/>
          <w:sz w:val="28"/>
          <w:szCs w:val="28"/>
        </w:rPr>
        <w:t>表4  环评审批要求及完成情况表</w:t>
      </w:r>
    </w:p>
    <w:tbl>
      <w:tblPr>
        <w:tblStyle w:val="9"/>
        <w:tblW w:w="87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5655"/>
        <w:gridCol w:w="2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658" w:type="dxa"/>
            <w:tcBorders>
              <w:tl2br w:val="nil"/>
              <w:tr2bl w:val="nil"/>
            </w:tcBorders>
            <w:vAlign w:val="center"/>
          </w:tcPr>
          <w:p>
            <w:pPr>
              <w:jc w:val="center"/>
              <w:rPr>
                <w:rFonts w:ascii="Times New Roman" w:hAnsi="Times New Roman"/>
                <w:bCs/>
                <w:color w:val="auto"/>
                <w:szCs w:val="21"/>
              </w:rPr>
            </w:pPr>
            <w:r>
              <w:rPr>
                <w:rFonts w:ascii="Times New Roman" w:hAnsi="Times New Roman"/>
                <w:bCs/>
                <w:color w:val="auto"/>
                <w:szCs w:val="21"/>
              </w:rPr>
              <w:t>序号</w:t>
            </w:r>
          </w:p>
        </w:tc>
        <w:tc>
          <w:tcPr>
            <w:tcW w:w="5655" w:type="dxa"/>
            <w:tcBorders>
              <w:tl2br w:val="nil"/>
              <w:tr2bl w:val="nil"/>
            </w:tcBorders>
            <w:vAlign w:val="center"/>
          </w:tcPr>
          <w:p>
            <w:pPr>
              <w:jc w:val="center"/>
              <w:rPr>
                <w:rFonts w:ascii="Times New Roman" w:hAnsi="Times New Roman"/>
                <w:bCs/>
                <w:color w:val="auto"/>
                <w:szCs w:val="21"/>
              </w:rPr>
            </w:pPr>
            <w:r>
              <w:rPr>
                <w:rFonts w:ascii="Times New Roman" w:hAnsi="Times New Roman"/>
                <w:bCs/>
                <w:color w:val="auto"/>
                <w:szCs w:val="21"/>
              </w:rPr>
              <w:t>环评批复中要求措施</w:t>
            </w:r>
          </w:p>
        </w:tc>
        <w:tc>
          <w:tcPr>
            <w:tcW w:w="2421" w:type="dxa"/>
            <w:tcBorders>
              <w:tl2br w:val="nil"/>
              <w:tr2bl w:val="nil"/>
            </w:tcBorders>
            <w:vAlign w:val="center"/>
          </w:tcPr>
          <w:p>
            <w:pPr>
              <w:jc w:val="center"/>
              <w:rPr>
                <w:rFonts w:ascii="Times New Roman" w:hAnsi="Times New Roman"/>
                <w:bCs/>
                <w:color w:val="auto"/>
                <w:szCs w:val="21"/>
              </w:rPr>
            </w:pPr>
            <w:r>
              <w:rPr>
                <w:rFonts w:ascii="Times New Roman" w:hAnsi="Times New Roman"/>
                <w:bCs/>
                <w:color w:val="auto"/>
                <w:szCs w:val="21"/>
              </w:rPr>
              <w:t>实际建设情况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8" w:type="dxa"/>
            <w:tcBorders>
              <w:tl2br w:val="nil"/>
              <w:tr2bl w:val="nil"/>
            </w:tcBorders>
            <w:vAlign w:val="center"/>
          </w:tcPr>
          <w:p>
            <w:pPr>
              <w:jc w:val="center"/>
              <w:rPr>
                <w:rFonts w:ascii="Times New Roman" w:hAnsi="Times New Roman"/>
                <w:color w:val="auto"/>
                <w:szCs w:val="21"/>
              </w:rPr>
            </w:pPr>
            <w:r>
              <w:rPr>
                <w:rFonts w:ascii="Times New Roman" w:hAnsi="Times New Roman"/>
                <w:color w:val="auto"/>
                <w:szCs w:val="21"/>
              </w:rPr>
              <w:t>1</w:t>
            </w:r>
          </w:p>
        </w:tc>
        <w:tc>
          <w:tcPr>
            <w:tcW w:w="5655" w:type="dxa"/>
            <w:tcBorders>
              <w:tl2br w:val="nil"/>
              <w:tr2bl w:val="nil"/>
            </w:tcBorders>
            <w:vAlign w:val="center"/>
          </w:tcPr>
          <w:p>
            <w:pPr>
              <w:jc w:val="left"/>
              <w:rPr>
                <w:rFonts w:ascii="Times New Roman" w:hAnsi="Times New Roman"/>
                <w:color w:val="auto"/>
                <w:szCs w:val="21"/>
              </w:rPr>
            </w:pPr>
            <w:r>
              <w:rPr>
                <w:rFonts w:hint="eastAsia" w:ascii="Times New Roman" w:hAnsi="Times New Roman"/>
                <w:color w:val="auto"/>
                <w:szCs w:val="21"/>
              </w:rPr>
              <w:t>项目位于高新区漳泽工业园，建设规模为年产钢结构，防护密闭门2000套、钢筋混凝土防护密闭门3000套、钢结构，密闭门2000套、钢筋混凝土密闭门2000套及通风风管10000套。主要建设内容为标准厂房4栋、科研楼1栋、职工宿舍1栋。总投资30000万元，其中环保投资350万元。在严格落实，《报告表》提出的各项生态环境保护措施后，该项目所产生的不利生态环境影响可以得到缓解或控制。我局原则同意《报告表》的环境影响评价总体结论和拟采取的污染防治措施。</w:t>
            </w:r>
          </w:p>
        </w:tc>
        <w:tc>
          <w:tcPr>
            <w:tcW w:w="2421" w:type="dxa"/>
            <w:tcBorders>
              <w:tl2br w:val="nil"/>
              <w:tr2bl w:val="nil"/>
            </w:tcBorders>
            <w:vAlign w:val="center"/>
          </w:tcPr>
          <w:p>
            <w:pPr>
              <w:rPr>
                <w:rFonts w:ascii="Times New Roman" w:hAnsi="Times New Roman"/>
                <w:color w:val="auto"/>
                <w:szCs w:val="21"/>
              </w:rPr>
            </w:pPr>
            <w:r>
              <w:rPr>
                <w:rFonts w:ascii="Times New Roman" w:hAnsi="Times New Roman"/>
                <w:color w:val="auto"/>
                <w:szCs w:val="21"/>
              </w:rPr>
              <w:t>本次验收范围为</w:t>
            </w:r>
            <w:r>
              <w:rPr>
                <w:rFonts w:hint="eastAsia" w:ascii="Times New Roman" w:hAnsi="Times New Roman"/>
                <w:color w:val="auto"/>
                <w:szCs w:val="21"/>
              </w:rPr>
              <w:t>山西绿建钢结构装配式制造产业及标准厂房建设项目余下其他设备及工程内容。实际总投资500万元，其中环保投资15万元。其他均按</w:t>
            </w:r>
            <w:r>
              <w:rPr>
                <w:rFonts w:ascii="Times New Roman" w:hAnsi="Times New Roman"/>
                <w:color w:val="auto"/>
                <w:szCs w:val="21"/>
              </w:rPr>
              <w:t>环评批复要求完成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658" w:type="dxa"/>
            <w:tcBorders>
              <w:tl2br w:val="nil"/>
              <w:tr2bl w:val="nil"/>
            </w:tcBorders>
            <w:vAlign w:val="center"/>
          </w:tcPr>
          <w:p>
            <w:pPr>
              <w:jc w:val="center"/>
              <w:rPr>
                <w:rFonts w:ascii="Times New Roman" w:hAnsi="Times New Roman"/>
                <w:color w:val="auto"/>
                <w:szCs w:val="21"/>
              </w:rPr>
            </w:pPr>
            <w:r>
              <w:rPr>
                <w:rFonts w:ascii="Times New Roman" w:hAnsi="Times New Roman"/>
                <w:color w:val="auto"/>
                <w:szCs w:val="21"/>
              </w:rPr>
              <w:t>2</w:t>
            </w:r>
          </w:p>
        </w:tc>
        <w:tc>
          <w:tcPr>
            <w:tcW w:w="5655" w:type="dxa"/>
            <w:tcBorders>
              <w:tl2br w:val="nil"/>
              <w:tr2bl w:val="nil"/>
            </w:tcBorders>
            <w:vAlign w:val="center"/>
          </w:tcPr>
          <w:p>
            <w:pPr>
              <w:autoSpaceDE w:val="0"/>
              <w:autoSpaceDN w:val="0"/>
              <w:adjustRightInd w:val="0"/>
              <w:jc w:val="left"/>
              <w:rPr>
                <w:rFonts w:ascii="Times New Roman" w:hAnsi="Times New Roman"/>
                <w:color w:val="auto"/>
                <w:szCs w:val="21"/>
              </w:rPr>
            </w:pPr>
            <w:r>
              <w:rPr>
                <w:rFonts w:hint="eastAsia" w:ascii="Times New Roman" w:hAnsi="Times New Roman"/>
                <w:color w:val="auto"/>
                <w:szCs w:val="21"/>
              </w:rPr>
              <w:t>严格落实大气污染防治措施：原料堆场采用全封闭轻钢结构，顶部设固定喷淋设施，每日定期洒水；水泥筒仓和搅拌机采用全封闭结构，水泥筒仓仓顶设置脉冲布袋除尘器，搅拌机设集尘罩，搅拌废气经布袋除尘器处理，处理后的尾气共同经一根15m排气筒排放；数控等离子火焰切割机各安装移动式侧吸罩收集进入布袋除尘器处理，处理后经15m排气筒排放；焊接烟尘在各工位设置集气罩安装排放管路集中收集后经布袋除尘器处理，打磨粉尘经抛丸机自带除尘器处理后与焊接烟尘一同经15m排气筒排放；喷漆晾干过程全封闭，配置一套"干式过滤+活性炭吸附+催化燃烧"，处理后经15m高排气筒，排放，确保项目大气污染物排放符合相关环境标准要求。</w:t>
            </w:r>
          </w:p>
        </w:tc>
        <w:tc>
          <w:tcPr>
            <w:tcW w:w="2421" w:type="dxa"/>
            <w:tcBorders>
              <w:tl2br w:val="nil"/>
              <w:tr2bl w:val="nil"/>
            </w:tcBorders>
            <w:vAlign w:val="center"/>
          </w:tcPr>
          <w:p>
            <w:pPr>
              <w:rPr>
                <w:rFonts w:ascii="Times New Roman" w:hAnsi="Times New Roman"/>
                <w:color w:val="auto"/>
                <w:szCs w:val="21"/>
              </w:rPr>
            </w:pPr>
            <w:r>
              <w:rPr>
                <w:rFonts w:hint="eastAsia"/>
                <w:color w:val="auto"/>
                <w:szCs w:val="21"/>
              </w:rPr>
              <w:t>目前</w:t>
            </w:r>
            <w:r>
              <w:rPr>
                <w:rFonts w:hint="eastAsia" w:ascii="Times New Roman" w:hAnsi="Times New Roman"/>
                <w:color w:val="auto"/>
                <w:szCs w:val="21"/>
              </w:rPr>
              <w:t>采用外购混凝土经罐车拉至厂内，混凝土搅拌生产线不在建设</w:t>
            </w:r>
            <w:r>
              <w:rPr>
                <w:rFonts w:hint="eastAsia"/>
                <w:color w:val="auto"/>
                <w:szCs w:val="21"/>
              </w:rPr>
              <w:t>，</w:t>
            </w:r>
            <w:r>
              <w:rPr>
                <w:rFonts w:hint="eastAsia" w:ascii="Times New Roman" w:hAnsi="Times New Roman"/>
                <w:color w:val="auto"/>
                <w:szCs w:val="21"/>
              </w:rPr>
              <w:t>原料堆场、水泥筒仓和搅拌机济环保设备未建</w:t>
            </w:r>
            <w:r>
              <w:rPr>
                <w:rFonts w:hint="eastAsia"/>
                <w:color w:val="auto"/>
                <w:szCs w:val="21"/>
              </w:rPr>
              <w:t>；厂区设有15台角磨机，满足生</w:t>
            </w:r>
            <w:r>
              <w:rPr>
                <w:rFonts w:hint="eastAsia" w:ascii="Times New Roman" w:hAnsi="Times New Roman"/>
                <w:color w:val="auto"/>
                <w:szCs w:val="21"/>
              </w:rPr>
              <w:t>产需求，不在安装抛丸机。切割、焊接、打磨环保设备于</w:t>
            </w:r>
            <w:r>
              <w:rPr>
                <w:rFonts w:hint="eastAsia" w:ascii="Times New Roman" w:hAnsi="Times New Roman"/>
                <w:color w:val="auto"/>
                <w:szCs w:val="21"/>
              </w:rPr>
              <w:t>2022年</w:t>
            </w:r>
            <w:r>
              <w:rPr>
                <w:rFonts w:hint="eastAsia" w:ascii="Times New Roman" w:hAnsi="Times New Roman"/>
                <w:color w:val="auto"/>
                <w:szCs w:val="21"/>
                <w:lang w:val="en-US" w:eastAsia="zh-CN"/>
              </w:rPr>
              <w:t>8</w:t>
            </w:r>
            <w:r>
              <w:rPr>
                <w:rFonts w:hint="eastAsia" w:ascii="Times New Roman" w:hAnsi="Times New Roman"/>
                <w:color w:val="auto"/>
                <w:szCs w:val="21"/>
              </w:rPr>
              <w:t>月</w:t>
            </w:r>
            <w:r>
              <w:rPr>
                <w:rFonts w:hint="eastAsia" w:ascii="Times New Roman" w:hAnsi="Times New Roman"/>
                <w:color w:val="auto"/>
                <w:szCs w:val="21"/>
              </w:rPr>
              <w:t>已验收。其他均按</w:t>
            </w:r>
            <w:r>
              <w:rPr>
                <w:rFonts w:ascii="Times New Roman" w:hAnsi="Times New Roman"/>
                <w:color w:val="auto"/>
                <w:szCs w:val="21"/>
              </w:rPr>
              <w:t>环评批复要求完成</w:t>
            </w:r>
            <w:r>
              <w:rPr>
                <w:rFonts w:hint="eastAsia" w:ascii="Times New Roman" w:hAnsi="Times New Roman"/>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58" w:type="dxa"/>
            <w:tcBorders>
              <w:tl2br w:val="nil"/>
              <w:tr2bl w:val="nil"/>
            </w:tcBorders>
            <w:vAlign w:val="center"/>
          </w:tcPr>
          <w:p>
            <w:pPr>
              <w:jc w:val="center"/>
              <w:rPr>
                <w:rFonts w:ascii="Times New Roman" w:hAnsi="Times New Roman"/>
                <w:color w:val="auto"/>
                <w:szCs w:val="21"/>
              </w:rPr>
            </w:pPr>
            <w:r>
              <w:rPr>
                <w:rFonts w:ascii="Times New Roman" w:hAnsi="Times New Roman"/>
                <w:color w:val="auto"/>
                <w:szCs w:val="21"/>
              </w:rPr>
              <w:t>3</w:t>
            </w:r>
          </w:p>
        </w:tc>
        <w:tc>
          <w:tcPr>
            <w:tcW w:w="5655" w:type="dxa"/>
            <w:tcBorders>
              <w:tl2br w:val="nil"/>
              <w:tr2bl w:val="nil"/>
            </w:tcBorders>
            <w:vAlign w:val="center"/>
          </w:tcPr>
          <w:p>
            <w:pPr>
              <w:autoSpaceDE w:val="0"/>
              <w:autoSpaceDN w:val="0"/>
              <w:adjustRightInd w:val="0"/>
              <w:jc w:val="left"/>
              <w:rPr>
                <w:rFonts w:ascii="Times New Roman" w:hAnsi="Times New Roman"/>
                <w:color w:val="auto"/>
                <w:szCs w:val="21"/>
              </w:rPr>
            </w:pPr>
            <w:r>
              <w:rPr>
                <w:rFonts w:hint="eastAsia" w:ascii="Times New Roman" w:hAnsi="Times New Roman"/>
                <w:color w:val="auto"/>
                <w:szCs w:val="21"/>
              </w:rPr>
              <w:t>落实水污染防治措施：生活污水经化粪池预处理后通过城市污水管道最终进入长治市污水处理厂；混凝土养护废水循环使用，不外排；设置洗车平台，经沉淀处理后回用于生产。</w:t>
            </w:r>
          </w:p>
        </w:tc>
        <w:tc>
          <w:tcPr>
            <w:tcW w:w="2421" w:type="dxa"/>
            <w:tcBorders>
              <w:tl2br w:val="nil"/>
              <w:tr2bl w:val="nil"/>
            </w:tcBorders>
            <w:vAlign w:val="center"/>
          </w:tcPr>
          <w:p>
            <w:pPr>
              <w:jc w:val="center"/>
              <w:rPr>
                <w:rFonts w:ascii="Times New Roman" w:hAnsi="Times New Roman"/>
                <w:color w:val="auto"/>
                <w:szCs w:val="21"/>
              </w:rPr>
            </w:pPr>
            <w:r>
              <w:rPr>
                <w:rFonts w:hint="eastAsia"/>
                <w:color w:val="auto"/>
                <w:szCs w:val="21"/>
              </w:rPr>
              <w:t>已验收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58" w:type="dxa"/>
            <w:tcBorders>
              <w:tl2br w:val="nil"/>
              <w:tr2bl w:val="nil"/>
            </w:tcBorders>
            <w:vAlign w:val="center"/>
          </w:tcPr>
          <w:p>
            <w:pPr>
              <w:jc w:val="center"/>
              <w:rPr>
                <w:rFonts w:ascii="Times New Roman" w:hAnsi="Times New Roman"/>
                <w:color w:val="auto"/>
                <w:szCs w:val="21"/>
              </w:rPr>
            </w:pPr>
            <w:r>
              <w:rPr>
                <w:rFonts w:ascii="Times New Roman" w:hAnsi="Times New Roman"/>
                <w:color w:val="auto"/>
                <w:szCs w:val="21"/>
              </w:rPr>
              <w:t>4</w:t>
            </w:r>
          </w:p>
        </w:tc>
        <w:tc>
          <w:tcPr>
            <w:tcW w:w="5655" w:type="dxa"/>
            <w:tcBorders>
              <w:tl2br w:val="nil"/>
              <w:tr2bl w:val="nil"/>
            </w:tcBorders>
            <w:vAlign w:val="center"/>
          </w:tcPr>
          <w:p>
            <w:pPr>
              <w:autoSpaceDE w:val="0"/>
              <w:autoSpaceDN w:val="0"/>
              <w:adjustRightInd w:val="0"/>
              <w:jc w:val="left"/>
              <w:rPr>
                <w:rFonts w:ascii="Times New Roman" w:hAnsi="Times New Roman"/>
                <w:color w:val="auto"/>
                <w:szCs w:val="21"/>
              </w:rPr>
            </w:pPr>
            <w:r>
              <w:rPr>
                <w:rFonts w:hint="eastAsia" w:ascii="Times New Roman" w:hAnsi="Times New Roman"/>
                <w:color w:val="auto"/>
                <w:szCs w:val="21"/>
              </w:rPr>
              <w:t>严格落实固体废物分类处置措施：生活垃圾收集后，由环卫部门处置；钢材边角料、废焊丝、金属粉尘交由废旧物，资回收单位回收利用；除尘灰回用于生产；废机油、废机油桶、废乳化液、废棉纱和废活性炭危废暂存间暂存，交有资质单位处置，并按《危险废物贮存污染物控制标准》(GB18597-2001)，及相关要求做好临时贮存场所的环境管理工作。</w:t>
            </w:r>
          </w:p>
        </w:tc>
        <w:tc>
          <w:tcPr>
            <w:tcW w:w="2421" w:type="dxa"/>
            <w:tcBorders>
              <w:tl2br w:val="nil"/>
              <w:tr2bl w:val="nil"/>
            </w:tcBorders>
            <w:vAlign w:val="center"/>
          </w:tcPr>
          <w:p>
            <w:pPr>
              <w:jc w:val="center"/>
              <w:rPr>
                <w:rFonts w:ascii="Times New Roman" w:hAnsi="Times New Roman"/>
                <w:color w:val="auto"/>
                <w:szCs w:val="21"/>
              </w:rPr>
            </w:pPr>
            <w:r>
              <w:rPr>
                <w:rFonts w:hint="eastAsia" w:ascii="Times New Roman" w:hAnsi="Times New Roman"/>
                <w:color w:val="auto"/>
                <w:szCs w:val="21"/>
              </w:rPr>
              <w:t>已按</w:t>
            </w:r>
            <w:r>
              <w:rPr>
                <w:rFonts w:ascii="Times New Roman" w:hAnsi="Times New Roman"/>
                <w:color w:val="auto"/>
                <w:szCs w:val="21"/>
              </w:rPr>
              <w:t>环评批复要求完成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8" w:type="dxa"/>
            <w:tcBorders>
              <w:tl2br w:val="nil"/>
              <w:tr2bl w:val="nil"/>
            </w:tcBorders>
            <w:vAlign w:val="center"/>
          </w:tcPr>
          <w:p>
            <w:pPr>
              <w:jc w:val="center"/>
              <w:rPr>
                <w:rFonts w:ascii="Times New Roman" w:hAnsi="Times New Roman"/>
                <w:color w:val="auto"/>
                <w:szCs w:val="21"/>
              </w:rPr>
            </w:pPr>
            <w:r>
              <w:rPr>
                <w:rFonts w:hint="eastAsia" w:ascii="Times New Roman" w:hAnsi="Times New Roman"/>
                <w:color w:val="auto"/>
                <w:szCs w:val="21"/>
              </w:rPr>
              <w:t>5</w:t>
            </w:r>
          </w:p>
        </w:tc>
        <w:tc>
          <w:tcPr>
            <w:tcW w:w="5655" w:type="dxa"/>
            <w:tcBorders>
              <w:tl2br w:val="nil"/>
              <w:tr2bl w:val="nil"/>
            </w:tcBorders>
            <w:vAlign w:val="center"/>
          </w:tcPr>
          <w:p>
            <w:pPr>
              <w:autoSpaceDE w:val="0"/>
              <w:autoSpaceDN w:val="0"/>
              <w:adjustRightInd w:val="0"/>
              <w:jc w:val="left"/>
              <w:rPr>
                <w:rFonts w:ascii="Times New Roman" w:hAnsi="Times New Roman"/>
                <w:color w:val="auto"/>
                <w:szCs w:val="21"/>
              </w:rPr>
            </w:pPr>
            <w:r>
              <w:rPr>
                <w:rFonts w:hint="eastAsia" w:ascii="Times New Roman" w:hAnsi="Times New Roman"/>
                <w:color w:val="auto"/>
                <w:szCs w:val="21"/>
              </w:rPr>
              <w:t>强化噪声污染防治措施：使用低噪设备，采取基础，减震、厂房隔声等措施，确保厂界噪声达到《工业企业厂界环境 噪声排放标准》(GB12348-2008)要求。</w:t>
            </w:r>
          </w:p>
        </w:tc>
        <w:tc>
          <w:tcPr>
            <w:tcW w:w="2421" w:type="dxa"/>
            <w:tcBorders>
              <w:tl2br w:val="nil"/>
              <w:tr2bl w:val="nil"/>
            </w:tcBorders>
            <w:vAlign w:val="center"/>
          </w:tcPr>
          <w:p>
            <w:pPr>
              <w:jc w:val="center"/>
              <w:rPr>
                <w:rFonts w:ascii="宋体" w:hAnsi="宋体" w:cs="宋体"/>
                <w:color w:val="auto"/>
                <w:spacing w:val="3"/>
                <w:szCs w:val="21"/>
              </w:rPr>
            </w:pPr>
            <w:r>
              <w:rPr>
                <w:rFonts w:hint="eastAsia"/>
                <w:color w:val="auto"/>
                <w:szCs w:val="21"/>
              </w:rPr>
              <w:t>已验收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6" w:hRule="atLeast"/>
          <w:jc w:val="center"/>
        </w:trPr>
        <w:tc>
          <w:tcPr>
            <w:tcW w:w="658" w:type="dxa"/>
            <w:tcBorders>
              <w:tl2br w:val="nil"/>
              <w:tr2bl w:val="nil"/>
            </w:tcBorders>
            <w:vAlign w:val="center"/>
          </w:tcPr>
          <w:p>
            <w:pPr>
              <w:jc w:val="center"/>
              <w:rPr>
                <w:rFonts w:ascii="Times New Roman" w:hAnsi="Times New Roman"/>
                <w:color w:val="auto"/>
                <w:szCs w:val="21"/>
              </w:rPr>
            </w:pPr>
            <w:r>
              <w:rPr>
                <w:rFonts w:hint="eastAsia" w:ascii="Times New Roman" w:hAnsi="Times New Roman"/>
                <w:color w:val="auto"/>
                <w:szCs w:val="21"/>
              </w:rPr>
              <w:t>6</w:t>
            </w:r>
          </w:p>
        </w:tc>
        <w:tc>
          <w:tcPr>
            <w:tcW w:w="5655" w:type="dxa"/>
            <w:tcBorders>
              <w:tl2br w:val="nil"/>
              <w:tr2bl w:val="nil"/>
            </w:tcBorders>
            <w:vAlign w:val="center"/>
          </w:tcPr>
          <w:p>
            <w:pPr>
              <w:autoSpaceDE w:val="0"/>
              <w:autoSpaceDN w:val="0"/>
              <w:adjustRightInd w:val="0"/>
              <w:jc w:val="left"/>
              <w:rPr>
                <w:rFonts w:ascii="Times New Roman" w:hAnsi="Times New Roman"/>
                <w:color w:val="auto"/>
                <w:szCs w:val="21"/>
              </w:rPr>
            </w:pPr>
            <w:r>
              <w:rPr>
                <w:rFonts w:hint="eastAsia" w:ascii="Times New Roman" w:hAnsi="Times New Roman"/>
                <w:color w:val="auto"/>
                <w:szCs w:val="21"/>
              </w:rPr>
              <w:t>落实土壤污染防治措施：采取源头控制、过程防控、跟踪监测的的防治措施，喷漆房、危废暂存间为重点防渗区，沉淀池、循环水池、废水收集池为一般防渗区。定期检查，避免因构筑物破损造成对土壤的影响，建立土壤跟踪监测制度。</w:t>
            </w:r>
          </w:p>
        </w:tc>
        <w:tc>
          <w:tcPr>
            <w:tcW w:w="2421" w:type="dxa"/>
            <w:tcBorders>
              <w:tl2br w:val="nil"/>
              <w:tr2bl w:val="nil"/>
            </w:tcBorders>
            <w:vAlign w:val="center"/>
          </w:tcPr>
          <w:p>
            <w:pPr>
              <w:jc w:val="center"/>
              <w:rPr>
                <w:rFonts w:ascii="宋体" w:hAnsi="宋体" w:cs="宋体"/>
                <w:color w:val="auto"/>
                <w:spacing w:val="3"/>
                <w:szCs w:val="21"/>
              </w:rPr>
            </w:pPr>
            <w:r>
              <w:rPr>
                <w:rFonts w:hint="eastAsia"/>
                <w:color w:val="auto"/>
                <w:szCs w:val="21"/>
              </w:rPr>
              <w:t>按</w:t>
            </w:r>
            <w:r>
              <w:rPr>
                <w:rFonts w:ascii="Times New Roman" w:hAnsi="Times New Roman"/>
                <w:color w:val="auto"/>
                <w:szCs w:val="21"/>
              </w:rPr>
              <w:t>环评批复要求完成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58" w:type="dxa"/>
            <w:tcBorders>
              <w:tl2br w:val="nil"/>
              <w:tr2bl w:val="nil"/>
            </w:tcBorders>
            <w:vAlign w:val="center"/>
          </w:tcPr>
          <w:p>
            <w:pPr>
              <w:jc w:val="center"/>
              <w:rPr>
                <w:rFonts w:ascii="Times New Roman" w:hAnsi="Times New Roman"/>
                <w:color w:val="auto"/>
                <w:szCs w:val="21"/>
              </w:rPr>
            </w:pPr>
            <w:r>
              <w:rPr>
                <w:rFonts w:hint="eastAsia" w:ascii="Times New Roman" w:hAnsi="Times New Roman"/>
                <w:color w:val="auto"/>
                <w:szCs w:val="21"/>
              </w:rPr>
              <w:t>7</w:t>
            </w:r>
          </w:p>
        </w:tc>
        <w:tc>
          <w:tcPr>
            <w:tcW w:w="5655" w:type="dxa"/>
            <w:tcBorders>
              <w:tl2br w:val="nil"/>
              <w:tr2bl w:val="nil"/>
            </w:tcBorders>
            <w:vAlign w:val="center"/>
          </w:tcPr>
          <w:p>
            <w:pPr>
              <w:autoSpaceDE w:val="0"/>
              <w:autoSpaceDN w:val="0"/>
              <w:adjustRightInd w:val="0"/>
              <w:jc w:val="left"/>
              <w:rPr>
                <w:rFonts w:ascii="Times New Roman" w:hAnsi="Times New Roman"/>
                <w:color w:val="auto"/>
                <w:szCs w:val="21"/>
              </w:rPr>
            </w:pPr>
            <w:r>
              <w:rPr>
                <w:rFonts w:hint="eastAsia" w:ascii="Times New Roman" w:hAnsi="Times New Roman"/>
                <w:color w:val="auto"/>
                <w:szCs w:val="21"/>
              </w:rPr>
              <w:t>你公司必须确保该项目污染物排放量满足《山西绿建钢结构装配式制造产业及标准厂房建设项目污染物排放总量控制指标的核定意见》(长高环函〔2020〕10号)中核定的总量控制指标。</w:t>
            </w:r>
          </w:p>
        </w:tc>
        <w:tc>
          <w:tcPr>
            <w:tcW w:w="2421" w:type="dxa"/>
            <w:tcBorders>
              <w:tl2br w:val="nil"/>
              <w:tr2bl w:val="nil"/>
            </w:tcBorders>
            <w:vAlign w:val="center"/>
          </w:tcPr>
          <w:p>
            <w:pPr>
              <w:jc w:val="center"/>
              <w:rPr>
                <w:rFonts w:ascii="宋体" w:hAnsi="宋体" w:cs="宋体"/>
                <w:color w:val="auto"/>
                <w:spacing w:val="3"/>
                <w:szCs w:val="21"/>
              </w:rPr>
            </w:pPr>
            <w:r>
              <w:rPr>
                <w:rFonts w:hint="eastAsia"/>
                <w:color w:val="auto"/>
                <w:szCs w:val="21"/>
              </w:rPr>
              <w:t>已验收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jc w:val="center"/>
        </w:trPr>
        <w:tc>
          <w:tcPr>
            <w:tcW w:w="658" w:type="dxa"/>
            <w:tcBorders>
              <w:tl2br w:val="nil"/>
              <w:tr2bl w:val="nil"/>
            </w:tcBorders>
            <w:vAlign w:val="center"/>
          </w:tcPr>
          <w:p>
            <w:pPr>
              <w:jc w:val="center"/>
              <w:rPr>
                <w:rFonts w:ascii="Times New Roman" w:hAnsi="Times New Roman"/>
                <w:color w:val="auto"/>
                <w:szCs w:val="21"/>
              </w:rPr>
            </w:pPr>
            <w:r>
              <w:rPr>
                <w:rFonts w:hint="eastAsia" w:ascii="Times New Roman" w:hAnsi="Times New Roman"/>
                <w:color w:val="auto"/>
                <w:szCs w:val="21"/>
              </w:rPr>
              <w:t>8</w:t>
            </w:r>
          </w:p>
        </w:tc>
        <w:tc>
          <w:tcPr>
            <w:tcW w:w="5655" w:type="dxa"/>
            <w:tcBorders>
              <w:tl2br w:val="nil"/>
              <w:tr2bl w:val="nil"/>
            </w:tcBorders>
            <w:vAlign w:val="center"/>
          </w:tcPr>
          <w:p>
            <w:pPr>
              <w:autoSpaceDE w:val="0"/>
              <w:autoSpaceDN w:val="0"/>
              <w:adjustRightInd w:val="0"/>
              <w:jc w:val="left"/>
              <w:rPr>
                <w:rFonts w:ascii="Times New Roman" w:hAnsi="Times New Roman"/>
                <w:color w:val="auto"/>
                <w:szCs w:val="21"/>
              </w:rPr>
            </w:pPr>
            <w:r>
              <w:rPr>
                <w:rFonts w:hint="eastAsia" w:ascii="Times New Roman" w:hAnsi="Times New Roman"/>
                <w:color w:val="auto"/>
                <w:szCs w:val="21"/>
              </w:rPr>
              <w:t>项目实施必须严格执行配套建设的环境保护设施与主，体工程同时设计、同时施工、同时投产使用的环境保护“三同时"制度。项目建成后要按规定程序实施竣工环境保护验收。</w:t>
            </w:r>
          </w:p>
        </w:tc>
        <w:tc>
          <w:tcPr>
            <w:tcW w:w="2421" w:type="dxa"/>
            <w:tcBorders>
              <w:tl2br w:val="nil"/>
              <w:tr2bl w:val="nil"/>
            </w:tcBorders>
            <w:vAlign w:val="center"/>
          </w:tcPr>
          <w:p>
            <w:pPr>
              <w:jc w:val="center"/>
              <w:rPr>
                <w:rFonts w:ascii="宋体" w:hAnsi="宋体" w:cs="宋体"/>
                <w:color w:val="auto"/>
                <w:spacing w:val="3"/>
                <w:szCs w:val="21"/>
              </w:rPr>
            </w:pPr>
            <w:r>
              <w:rPr>
                <w:rFonts w:hint="eastAsia"/>
                <w:color w:val="auto"/>
                <w:szCs w:val="21"/>
              </w:rPr>
              <w:t>已验收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658" w:type="dxa"/>
            <w:tcBorders>
              <w:tl2br w:val="nil"/>
              <w:tr2bl w:val="nil"/>
            </w:tcBorders>
            <w:vAlign w:val="center"/>
          </w:tcPr>
          <w:p>
            <w:pPr>
              <w:jc w:val="center"/>
              <w:rPr>
                <w:rFonts w:ascii="Times New Roman" w:hAnsi="Times New Roman"/>
                <w:color w:val="auto"/>
                <w:szCs w:val="21"/>
              </w:rPr>
            </w:pPr>
            <w:r>
              <w:rPr>
                <w:rFonts w:hint="eastAsia" w:ascii="Times New Roman" w:hAnsi="Times New Roman"/>
                <w:color w:val="auto"/>
                <w:szCs w:val="21"/>
              </w:rPr>
              <w:t>9</w:t>
            </w:r>
          </w:p>
        </w:tc>
        <w:tc>
          <w:tcPr>
            <w:tcW w:w="5655" w:type="dxa"/>
            <w:tcBorders>
              <w:tl2br w:val="nil"/>
              <w:tr2bl w:val="nil"/>
            </w:tcBorders>
            <w:vAlign w:val="center"/>
          </w:tcPr>
          <w:p>
            <w:pPr>
              <w:autoSpaceDE w:val="0"/>
              <w:autoSpaceDN w:val="0"/>
              <w:adjustRightInd w:val="0"/>
              <w:jc w:val="left"/>
              <w:rPr>
                <w:rFonts w:ascii="Times New Roman" w:hAnsi="Times New Roman"/>
                <w:color w:val="auto"/>
                <w:szCs w:val="21"/>
              </w:rPr>
            </w:pPr>
            <w:r>
              <w:rPr>
                <w:rFonts w:hint="eastAsia" w:ascii="Times New Roman" w:hAnsi="Times New Roman"/>
                <w:color w:val="auto"/>
                <w:szCs w:val="21"/>
              </w:rPr>
              <w:t>长治市生态环境局高新区分局负责项目的环境保护现场监督检查和监督管理工作。</w:t>
            </w:r>
          </w:p>
        </w:tc>
        <w:tc>
          <w:tcPr>
            <w:tcW w:w="2421" w:type="dxa"/>
            <w:tcBorders>
              <w:tl2br w:val="nil"/>
              <w:tr2bl w:val="nil"/>
            </w:tcBorders>
            <w:vAlign w:val="center"/>
          </w:tcPr>
          <w:p>
            <w:pPr>
              <w:jc w:val="center"/>
              <w:rPr>
                <w:rFonts w:ascii="宋体" w:hAnsi="宋体" w:cs="宋体"/>
                <w:color w:val="auto"/>
                <w:spacing w:val="3"/>
                <w:szCs w:val="21"/>
              </w:rPr>
            </w:pPr>
            <w:r>
              <w:rPr>
                <w:rFonts w:hint="eastAsia"/>
                <w:color w:val="auto"/>
                <w:szCs w:val="21"/>
              </w:rPr>
              <w:t>已验收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58" w:type="dxa"/>
            <w:tcBorders>
              <w:tl2br w:val="nil"/>
              <w:tr2bl w:val="nil"/>
            </w:tcBorders>
            <w:vAlign w:val="center"/>
          </w:tcPr>
          <w:p>
            <w:pPr>
              <w:jc w:val="center"/>
              <w:rPr>
                <w:rFonts w:ascii="Times New Roman" w:hAnsi="Times New Roman"/>
                <w:color w:val="auto"/>
                <w:szCs w:val="21"/>
              </w:rPr>
            </w:pPr>
            <w:r>
              <w:rPr>
                <w:rFonts w:hint="eastAsia" w:ascii="Times New Roman" w:hAnsi="Times New Roman"/>
                <w:color w:val="auto"/>
                <w:szCs w:val="21"/>
              </w:rPr>
              <w:t>10</w:t>
            </w:r>
          </w:p>
        </w:tc>
        <w:tc>
          <w:tcPr>
            <w:tcW w:w="5655" w:type="dxa"/>
            <w:tcBorders>
              <w:tl2br w:val="nil"/>
              <w:tr2bl w:val="nil"/>
            </w:tcBorders>
            <w:vAlign w:val="center"/>
          </w:tcPr>
          <w:p>
            <w:pPr>
              <w:autoSpaceDE w:val="0"/>
              <w:autoSpaceDN w:val="0"/>
              <w:adjustRightInd w:val="0"/>
              <w:jc w:val="left"/>
              <w:rPr>
                <w:rFonts w:ascii="Times New Roman" w:hAnsi="Times New Roman"/>
                <w:color w:val="auto"/>
                <w:szCs w:val="21"/>
              </w:rPr>
            </w:pPr>
            <w:r>
              <w:rPr>
                <w:rFonts w:hint="eastAsia" w:ascii="Times New Roman" w:hAnsi="Times New Roman"/>
                <w:color w:val="auto"/>
                <w:szCs w:val="21"/>
              </w:rPr>
              <w:t>你单位应在收到本批复20个工作日内，将批准后的《报告表》送至长治市生态环境局高新区分局，并按规定接受生态，环境主管部门的日常监督检查。</w:t>
            </w:r>
          </w:p>
        </w:tc>
        <w:tc>
          <w:tcPr>
            <w:tcW w:w="2421" w:type="dxa"/>
            <w:tcBorders>
              <w:tl2br w:val="nil"/>
              <w:tr2bl w:val="nil"/>
            </w:tcBorders>
            <w:vAlign w:val="center"/>
          </w:tcPr>
          <w:p>
            <w:pPr>
              <w:jc w:val="center"/>
              <w:rPr>
                <w:rFonts w:ascii="宋体" w:hAnsi="宋体" w:cs="宋体"/>
                <w:color w:val="auto"/>
                <w:spacing w:val="3"/>
                <w:szCs w:val="21"/>
              </w:rPr>
            </w:pPr>
            <w:r>
              <w:rPr>
                <w:rFonts w:hint="eastAsia"/>
                <w:color w:val="auto"/>
                <w:szCs w:val="21"/>
              </w:rPr>
              <w:t>已验收</w:t>
            </w:r>
          </w:p>
        </w:tc>
      </w:tr>
    </w:tbl>
    <w:p>
      <w:pPr>
        <w:spacing w:line="540" w:lineRule="exact"/>
        <w:ind w:firstLine="602" w:firstLineChars="200"/>
        <w:jc w:val="left"/>
        <w:rPr>
          <w:rFonts w:ascii="宋体" w:hAnsi="宋体" w:cs="宋体"/>
          <w:b/>
          <w:bCs/>
          <w:color w:val="auto"/>
          <w:kern w:val="0"/>
          <w:sz w:val="30"/>
          <w:szCs w:val="30"/>
        </w:rPr>
      </w:pPr>
      <w:r>
        <w:rPr>
          <w:rFonts w:hint="eastAsia" w:ascii="宋体" w:hAnsi="宋体" w:cs="宋体"/>
          <w:b/>
          <w:bCs/>
          <w:color w:val="auto"/>
          <w:kern w:val="0"/>
          <w:sz w:val="30"/>
          <w:szCs w:val="30"/>
        </w:rPr>
        <w:t>四、环保设施调试结果</w:t>
      </w:r>
    </w:p>
    <w:p>
      <w:pPr>
        <w:autoSpaceDE w:val="0"/>
        <w:autoSpaceDN w:val="0"/>
        <w:adjustRightInd w:val="0"/>
        <w:spacing w:line="540" w:lineRule="exact"/>
        <w:ind w:firstLine="600" w:firstLineChars="200"/>
        <w:rPr>
          <w:rFonts w:ascii="宋体" w:hAnsi="宋体" w:cs="宋体"/>
          <w:bCs/>
          <w:color w:val="auto"/>
          <w:sz w:val="30"/>
          <w:szCs w:val="30"/>
        </w:rPr>
      </w:pPr>
      <w:r>
        <w:rPr>
          <w:rFonts w:ascii="宋体" w:hAnsi="宋体" w:cs="宋体"/>
          <w:color w:val="auto"/>
          <w:sz w:val="30"/>
          <w:szCs w:val="30"/>
        </w:rPr>
        <w:t>202</w:t>
      </w:r>
      <w:r>
        <w:rPr>
          <w:rFonts w:hint="eastAsia" w:ascii="宋体" w:hAnsi="宋体" w:cs="宋体"/>
          <w:color w:val="auto"/>
          <w:sz w:val="30"/>
          <w:szCs w:val="30"/>
        </w:rPr>
        <w:t>3</w:t>
      </w:r>
      <w:r>
        <w:rPr>
          <w:rFonts w:ascii="宋体" w:hAnsi="宋体" w:cs="宋体"/>
          <w:color w:val="auto"/>
          <w:sz w:val="30"/>
          <w:szCs w:val="30"/>
        </w:rPr>
        <w:t>年</w:t>
      </w:r>
      <w:r>
        <w:rPr>
          <w:rFonts w:hint="eastAsia" w:ascii="宋体" w:hAnsi="宋体" w:cs="宋体"/>
          <w:color w:val="auto"/>
          <w:sz w:val="30"/>
          <w:szCs w:val="30"/>
        </w:rPr>
        <w:t>11</w:t>
      </w:r>
      <w:r>
        <w:rPr>
          <w:rFonts w:ascii="宋体" w:hAnsi="宋体" w:cs="宋体"/>
          <w:color w:val="auto"/>
          <w:sz w:val="30"/>
          <w:szCs w:val="30"/>
        </w:rPr>
        <w:t>月</w:t>
      </w:r>
      <w:r>
        <w:rPr>
          <w:rFonts w:hint="eastAsia" w:ascii="宋体" w:hAnsi="宋体" w:cs="宋体"/>
          <w:color w:val="auto"/>
          <w:sz w:val="30"/>
          <w:szCs w:val="30"/>
        </w:rPr>
        <w:t>17</w:t>
      </w:r>
      <w:r>
        <w:rPr>
          <w:rFonts w:ascii="宋体" w:hAnsi="宋体" w:cs="宋体"/>
          <w:color w:val="auto"/>
          <w:sz w:val="30"/>
          <w:szCs w:val="30"/>
        </w:rPr>
        <w:t>日-</w:t>
      </w:r>
      <w:r>
        <w:rPr>
          <w:rFonts w:hint="eastAsia" w:ascii="宋体" w:hAnsi="宋体" w:cs="宋体"/>
          <w:color w:val="auto"/>
          <w:sz w:val="30"/>
          <w:szCs w:val="30"/>
        </w:rPr>
        <w:t>18</w:t>
      </w:r>
      <w:r>
        <w:rPr>
          <w:rFonts w:ascii="宋体" w:hAnsi="宋体" w:cs="宋体"/>
          <w:color w:val="auto"/>
          <w:sz w:val="30"/>
          <w:szCs w:val="30"/>
        </w:rPr>
        <w:t>日，</w:t>
      </w:r>
      <w:r>
        <w:rPr>
          <w:rFonts w:hint="eastAsia" w:ascii="宋体" w:hAnsi="宋体" w:cs="宋体"/>
          <w:color w:val="auto"/>
          <w:sz w:val="30"/>
          <w:szCs w:val="30"/>
        </w:rPr>
        <w:t>山西安得瑞防护设备有限公司</w:t>
      </w:r>
      <w:r>
        <w:rPr>
          <w:rFonts w:ascii="宋体" w:hAnsi="宋体" w:cs="宋体"/>
          <w:color w:val="auto"/>
          <w:sz w:val="30"/>
          <w:szCs w:val="30"/>
        </w:rPr>
        <w:t>委托</w:t>
      </w:r>
      <w:r>
        <w:rPr>
          <w:rFonts w:hint="eastAsia" w:ascii="宋体" w:hAnsi="宋体" w:cs="宋体"/>
          <w:color w:val="auto"/>
          <w:sz w:val="30"/>
          <w:szCs w:val="30"/>
        </w:rPr>
        <w:t>河南鑫成环测检测技术有限公司</w:t>
      </w:r>
      <w:r>
        <w:rPr>
          <w:rFonts w:ascii="宋体" w:hAnsi="宋体" w:cs="宋体"/>
          <w:color w:val="auto"/>
          <w:sz w:val="30"/>
          <w:szCs w:val="30"/>
        </w:rPr>
        <w:t>对该项目的废气、噪声进行了竣工环境保护验收监测，并出具了</w:t>
      </w:r>
      <w:r>
        <w:rPr>
          <w:rFonts w:hint="eastAsia" w:ascii="宋体" w:hAnsi="宋体" w:cs="宋体"/>
          <w:color w:val="auto"/>
          <w:sz w:val="30"/>
          <w:szCs w:val="30"/>
        </w:rPr>
        <w:t>监测报告（XCHC202023-00644）。</w:t>
      </w:r>
    </w:p>
    <w:p>
      <w:pPr>
        <w:spacing w:line="540" w:lineRule="exact"/>
        <w:ind w:firstLine="602" w:firstLineChars="200"/>
        <w:jc w:val="left"/>
        <w:rPr>
          <w:rFonts w:ascii="宋体" w:hAnsi="宋体" w:cs="宋体"/>
          <w:b/>
          <w:bCs/>
          <w:color w:val="auto"/>
          <w:kern w:val="0"/>
          <w:sz w:val="30"/>
          <w:szCs w:val="30"/>
        </w:rPr>
      </w:pPr>
      <w:r>
        <w:rPr>
          <w:rFonts w:hint="eastAsia" w:ascii="宋体" w:hAnsi="宋体" w:cs="宋体"/>
          <w:b/>
          <w:bCs/>
          <w:color w:val="auto"/>
          <w:kern w:val="0"/>
          <w:sz w:val="30"/>
          <w:szCs w:val="30"/>
        </w:rPr>
        <w:t>1、大气污染物调查及监测结果</w:t>
      </w:r>
    </w:p>
    <w:p>
      <w:pPr>
        <w:spacing w:line="540" w:lineRule="exact"/>
        <w:ind w:firstLine="600" w:firstLineChars="200"/>
        <w:rPr>
          <w:rFonts w:hint="eastAsia" w:ascii="宋体" w:hAnsi="宋体" w:eastAsia="宋体" w:cs="宋体"/>
          <w:bCs/>
          <w:color w:val="auto"/>
          <w:kern w:val="0"/>
          <w:sz w:val="30"/>
          <w:szCs w:val="30"/>
        </w:rPr>
      </w:pPr>
      <w:r>
        <w:rPr>
          <w:rFonts w:hint="eastAsia" w:ascii="宋体" w:hAnsi="宋体" w:cs="宋体"/>
          <w:color w:val="auto"/>
          <w:kern w:val="0"/>
          <w:sz w:val="30"/>
          <w:szCs w:val="30"/>
        </w:rPr>
        <w:t>（1）</w:t>
      </w:r>
      <w:r>
        <w:rPr>
          <w:rFonts w:hint="default" w:ascii="宋体" w:hAnsi="宋体" w:eastAsia="宋体" w:cs="宋体"/>
          <w:bCs/>
          <w:color w:val="auto"/>
          <w:kern w:val="0"/>
          <w:sz w:val="30"/>
          <w:szCs w:val="30"/>
        </w:rPr>
        <w:t>有组织</w:t>
      </w:r>
      <w:r>
        <w:rPr>
          <w:rFonts w:hint="eastAsia" w:ascii="宋体" w:hAnsi="宋体" w:eastAsia="宋体" w:cs="宋体"/>
          <w:bCs/>
          <w:color w:val="auto"/>
          <w:kern w:val="0"/>
          <w:sz w:val="30"/>
          <w:szCs w:val="30"/>
          <w:lang w:eastAsia="zh-CN"/>
        </w:rPr>
        <w:t>喷漆房</w:t>
      </w:r>
      <w:r>
        <w:rPr>
          <w:rFonts w:hint="default" w:ascii="宋体" w:hAnsi="宋体" w:eastAsia="宋体" w:cs="宋体"/>
          <w:bCs/>
          <w:color w:val="auto"/>
          <w:kern w:val="0"/>
          <w:sz w:val="30"/>
          <w:szCs w:val="30"/>
          <w:lang w:eastAsia="zh-CN"/>
        </w:rPr>
        <w:t>废气</w:t>
      </w:r>
      <w:r>
        <w:rPr>
          <w:rFonts w:hint="eastAsia" w:ascii="宋体" w:hAnsi="宋体" w:eastAsia="宋体" w:cs="宋体"/>
          <w:bCs/>
          <w:color w:val="auto"/>
          <w:kern w:val="0"/>
          <w:sz w:val="30"/>
          <w:szCs w:val="30"/>
          <w:lang w:eastAsia="zh-CN"/>
        </w:rPr>
        <w:t>颗粒物进口浓度为</w:t>
      </w:r>
      <w:r>
        <w:rPr>
          <w:rFonts w:hint="eastAsia" w:ascii="宋体" w:hAnsi="宋体" w:eastAsia="宋体" w:cs="宋体"/>
          <w:bCs/>
          <w:color w:val="auto"/>
          <w:kern w:val="0"/>
          <w:sz w:val="30"/>
          <w:szCs w:val="30"/>
          <w:lang w:val="en-US" w:eastAsia="zh-CN"/>
        </w:rPr>
        <w:t>25.2-29.3</w:t>
      </w:r>
      <w:r>
        <w:rPr>
          <w:rFonts w:hint="default" w:ascii="宋体" w:hAnsi="宋体" w:eastAsia="宋体" w:cs="宋体"/>
          <w:bCs/>
          <w:color w:val="auto"/>
          <w:kern w:val="0"/>
          <w:sz w:val="30"/>
          <w:szCs w:val="30"/>
        </w:rPr>
        <w:t>mg/m</w:t>
      </w:r>
      <w:r>
        <w:rPr>
          <w:rFonts w:hint="default" w:ascii="宋体" w:hAnsi="宋体" w:eastAsia="宋体" w:cs="宋体"/>
          <w:bCs/>
          <w:color w:val="auto"/>
          <w:kern w:val="0"/>
          <w:sz w:val="30"/>
          <w:szCs w:val="30"/>
          <w:vertAlign w:val="superscript"/>
        </w:rPr>
        <w:t>3</w:t>
      </w:r>
      <w:r>
        <w:rPr>
          <w:rFonts w:hint="eastAsia" w:ascii="宋体" w:hAnsi="宋体" w:eastAsia="宋体" w:cs="宋体"/>
          <w:bCs/>
          <w:color w:val="auto"/>
          <w:kern w:val="0"/>
          <w:sz w:val="30"/>
          <w:szCs w:val="30"/>
          <w:lang w:eastAsia="zh-CN"/>
        </w:rPr>
        <w:t>，</w:t>
      </w:r>
      <w:r>
        <w:rPr>
          <w:rFonts w:hint="default" w:ascii="宋体" w:hAnsi="宋体" w:eastAsia="宋体" w:cs="宋体"/>
          <w:bCs/>
          <w:color w:val="auto"/>
          <w:kern w:val="0"/>
          <w:sz w:val="30"/>
          <w:szCs w:val="30"/>
          <w:lang w:eastAsia="zh-CN"/>
        </w:rPr>
        <w:t>排放口</w:t>
      </w:r>
      <w:r>
        <w:rPr>
          <w:rFonts w:hint="default" w:ascii="宋体" w:hAnsi="宋体" w:eastAsia="宋体" w:cs="宋体"/>
          <w:bCs/>
          <w:color w:val="auto"/>
          <w:kern w:val="0"/>
          <w:sz w:val="30"/>
          <w:szCs w:val="30"/>
          <w:lang w:val="en-US" w:eastAsia="zh-CN"/>
        </w:rPr>
        <w:t>出口</w:t>
      </w:r>
      <w:r>
        <w:rPr>
          <w:rFonts w:hint="eastAsia" w:ascii="宋体" w:hAnsi="宋体" w:eastAsia="宋体" w:cs="宋体"/>
          <w:bCs/>
          <w:color w:val="auto"/>
          <w:kern w:val="0"/>
          <w:sz w:val="30"/>
          <w:szCs w:val="30"/>
          <w:lang w:val="en-US" w:eastAsia="zh-CN"/>
        </w:rPr>
        <w:t>颗粒物</w:t>
      </w:r>
      <w:r>
        <w:rPr>
          <w:rFonts w:hint="default" w:ascii="宋体" w:hAnsi="宋体" w:eastAsia="宋体" w:cs="宋体"/>
          <w:bCs/>
          <w:color w:val="auto"/>
          <w:kern w:val="0"/>
          <w:sz w:val="30"/>
          <w:szCs w:val="30"/>
        </w:rPr>
        <w:t>排放浓度为</w:t>
      </w:r>
      <w:r>
        <w:rPr>
          <w:rFonts w:hint="eastAsia" w:ascii="宋体" w:hAnsi="宋体" w:eastAsia="宋体" w:cs="宋体"/>
          <w:bCs/>
          <w:color w:val="auto"/>
          <w:kern w:val="0"/>
          <w:sz w:val="30"/>
          <w:szCs w:val="30"/>
          <w:lang w:val="en-US" w:eastAsia="zh-CN"/>
        </w:rPr>
        <w:t>2.3</w:t>
      </w:r>
      <w:r>
        <w:rPr>
          <w:rFonts w:hint="default" w:ascii="宋体" w:hAnsi="宋体" w:eastAsia="宋体" w:cs="宋体"/>
          <w:bCs/>
          <w:color w:val="auto"/>
          <w:kern w:val="0"/>
          <w:sz w:val="30"/>
          <w:szCs w:val="30"/>
        </w:rPr>
        <w:t>-</w:t>
      </w:r>
      <w:r>
        <w:rPr>
          <w:rFonts w:hint="eastAsia" w:ascii="宋体" w:hAnsi="宋体" w:eastAsia="宋体" w:cs="宋体"/>
          <w:bCs/>
          <w:color w:val="auto"/>
          <w:kern w:val="0"/>
          <w:sz w:val="30"/>
          <w:szCs w:val="30"/>
          <w:lang w:val="en-US" w:eastAsia="zh-CN"/>
        </w:rPr>
        <w:t>2.7</w:t>
      </w:r>
      <w:r>
        <w:rPr>
          <w:rFonts w:hint="default" w:ascii="宋体" w:hAnsi="宋体" w:eastAsia="宋体" w:cs="宋体"/>
          <w:bCs/>
          <w:color w:val="auto"/>
          <w:kern w:val="0"/>
          <w:sz w:val="30"/>
          <w:szCs w:val="30"/>
        </w:rPr>
        <w:t>mg/m</w:t>
      </w:r>
      <w:r>
        <w:rPr>
          <w:rFonts w:hint="default" w:ascii="宋体" w:hAnsi="宋体" w:eastAsia="宋体" w:cs="宋体"/>
          <w:bCs/>
          <w:color w:val="auto"/>
          <w:kern w:val="0"/>
          <w:sz w:val="30"/>
          <w:szCs w:val="30"/>
          <w:vertAlign w:val="superscript"/>
        </w:rPr>
        <w:t>3</w:t>
      </w:r>
      <w:r>
        <w:rPr>
          <w:rFonts w:hint="default" w:ascii="宋体" w:hAnsi="宋体" w:eastAsia="宋体" w:cs="宋体"/>
          <w:bCs/>
          <w:color w:val="auto"/>
          <w:kern w:val="0"/>
          <w:sz w:val="30"/>
          <w:szCs w:val="30"/>
        </w:rPr>
        <w:t>，</w:t>
      </w:r>
      <w:r>
        <w:rPr>
          <w:rFonts w:hint="eastAsia" w:ascii="宋体" w:hAnsi="宋体" w:eastAsia="宋体" w:cs="宋体"/>
          <w:bCs/>
          <w:color w:val="auto"/>
          <w:kern w:val="0"/>
          <w:sz w:val="30"/>
          <w:szCs w:val="30"/>
          <w:lang w:eastAsia="zh-CN"/>
        </w:rPr>
        <w:t>平均去除效率为</w:t>
      </w:r>
      <w:r>
        <w:rPr>
          <w:rFonts w:hint="eastAsia" w:ascii="宋体" w:hAnsi="宋体" w:eastAsia="宋体" w:cs="宋体"/>
          <w:bCs/>
          <w:color w:val="auto"/>
          <w:kern w:val="0"/>
          <w:sz w:val="30"/>
          <w:szCs w:val="30"/>
          <w:lang w:val="en-US" w:eastAsia="zh-CN"/>
        </w:rPr>
        <w:t>90.84%，</w:t>
      </w:r>
      <w:r>
        <w:rPr>
          <w:rFonts w:hint="default" w:ascii="宋体" w:hAnsi="宋体" w:eastAsia="宋体" w:cs="宋体"/>
          <w:bCs/>
          <w:color w:val="auto"/>
          <w:kern w:val="0"/>
          <w:sz w:val="30"/>
          <w:szCs w:val="30"/>
        </w:rPr>
        <w:t>符合《关于印发长治市工业企业无组织排放治理实施方案的通知》（长气防办</w:t>
      </w:r>
      <w:r>
        <w:rPr>
          <w:rFonts w:hint="default" w:ascii="宋体" w:hAnsi="宋体" w:eastAsia="宋体" w:cs="宋体"/>
          <w:bCs/>
          <w:color w:val="auto"/>
          <w:kern w:val="0"/>
          <w:sz w:val="30"/>
          <w:szCs w:val="30"/>
          <w:lang w:val="en-US" w:eastAsia="zh-CN"/>
        </w:rPr>
        <w:t>[2019]9</w:t>
      </w:r>
      <w:r>
        <w:rPr>
          <w:rFonts w:hint="default" w:ascii="宋体" w:hAnsi="宋体" w:eastAsia="宋体" w:cs="宋体"/>
          <w:bCs/>
          <w:color w:val="auto"/>
          <w:kern w:val="0"/>
          <w:sz w:val="30"/>
          <w:szCs w:val="30"/>
        </w:rPr>
        <w:t>号），最高允许排放浓度10mg/Nm</w:t>
      </w:r>
      <w:r>
        <w:rPr>
          <w:rFonts w:hint="default" w:ascii="宋体" w:hAnsi="宋体" w:eastAsia="宋体" w:cs="宋体"/>
          <w:bCs/>
          <w:color w:val="auto"/>
          <w:kern w:val="0"/>
          <w:sz w:val="30"/>
          <w:szCs w:val="30"/>
          <w:vertAlign w:val="superscript"/>
        </w:rPr>
        <w:t>3</w:t>
      </w:r>
      <w:r>
        <w:rPr>
          <w:rFonts w:hint="eastAsia" w:ascii="宋体" w:hAnsi="宋体" w:eastAsia="宋体" w:cs="宋体"/>
          <w:bCs/>
          <w:color w:val="auto"/>
          <w:kern w:val="0"/>
          <w:sz w:val="30"/>
          <w:szCs w:val="30"/>
          <w:lang w:val="en-US" w:eastAsia="zh-CN"/>
        </w:rPr>
        <w:t>的</w:t>
      </w:r>
      <w:r>
        <w:rPr>
          <w:rFonts w:hint="default" w:ascii="宋体" w:hAnsi="宋体" w:eastAsia="宋体" w:cs="宋体"/>
          <w:bCs/>
          <w:color w:val="auto"/>
          <w:kern w:val="0"/>
          <w:sz w:val="30"/>
          <w:szCs w:val="30"/>
        </w:rPr>
        <w:t>要求。</w:t>
      </w:r>
      <w:r>
        <w:rPr>
          <w:rFonts w:hint="eastAsia" w:ascii="宋体" w:hAnsi="宋体" w:eastAsia="宋体" w:cs="宋体"/>
          <w:bCs/>
          <w:color w:val="auto"/>
          <w:kern w:val="0"/>
          <w:sz w:val="30"/>
          <w:szCs w:val="30"/>
          <w:lang w:eastAsia="zh-CN"/>
        </w:rPr>
        <w:t>非甲烷总烃进口浓度为</w:t>
      </w:r>
      <w:r>
        <w:rPr>
          <w:rFonts w:hint="eastAsia" w:ascii="宋体" w:hAnsi="宋体" w:eastAsia="宋体" w:cs="宋体"/>
          <w:bCs/>
          <w:color w:val="auto"/>
          <w:kern w:val="0"/>
          <w:sz w:val="30"/>
          <w:szCs w:val="30"/>
          <w:lang w:val="en-US" w:eastAsia="zh-CN"/>
        </w:rPr>
        <w:t>80.6-86.7</w:t>
      </w:r>
      <w:r>
        <w:rPr>
          <w:rFonts w:hint="default" w:ascii="宋体" w:hAnsi="宋体" w:eastAsia="宋体" w:cs="宋体"/>
          <w:bCs/>
          <w:color w:val="auto"/>
          <w:kern w:val="0"/>
          <w:sz w:val="30"/>
          <w:szCs w:val="30"/>
        </w:rPr>
        <w:t>mg/m3</w:t>
      </w:r>
      <w:r>
        <w:rPr>
          <w:rFonts w:hint="eastAsia" w:ascii="宋体" w:hAnsi="宋体" w:eastAsia="宋体" w:cs="宋体"/>
          <w:bCs/>
          <w:color w:val="auto"/>
          <w:kern w:val="0"/>
          <w:sz w:val="30"/>
          <w:szCs w:val="30"/>
          <w:lang w:eastAsia="zh-CN"/>
        </w:rPr>
        <w:t>，</w:t>
      </w:r>
      <w:r>
        <w:rPr>
          <w:rFonts w:hint="default" w:ascii="宋体" w:hAnsi="宋体" w:eastAsia="宋体" w:cs="宋体"/>
          <w:bCs/>
          <w:color w:val="auto"/>
          <w:kern w:val="0"/>
          <w:sz w:val="30"/>
          <w:szCs w:val="30"/>
        </w:rPr>
        <w:t>排放浓度为</w:t>
      </w:r>
      <w:r>
        <w:rPr>
          <w:rFonts w:hint="eastAsia" w:ascii="宋体" w:hAnsi="宋体" w:eastAsia="宋体" w:cs="宋体"/>
          <w:bCs/>
          <w:color w:val="auto"/>
          <w:kern w:val="0"/>
          <w:sz w:val="30"/>
          <w:szCs w:val="30"/>
          <w:lang w:val="en-US" w:eastAsia="zh-CN"/>
        </w:rPr>
        <w:t>5.98</w:t>
      </w:r>
      <w:r>
        <w:rPr>
          <w:rFonts w:hint="default" w:ascii="宋体" w:hAnsi="宋体" w:eastAsia="宋体" w:cs="宋体"/>
          <w:bCs/>
          <w:color w:val="auto"/>
          <w:kern w:val="0"/>
          <w:sz w:val="30"/>
          <w:szCs w:val="30"/>
        </w:rPr>
        <w:t>-</w:t>
      </w:r>
      <w:r>
        <w:rPr>
          <w:rFonts w:hint="eastAsia" w:ascii="宋体" w:hAnsi="宋体" w:eastAsia="宋体" w:cs="宋体"/>
          <w:bCs/>
          <w:color w:val="auto"/>
          <w:kern w:val="0"/>
          <w:sz w:val="30"/>
          <w:szCs w:val="30"/>
          <w:lang w:val="en-US" w:eastAsia="zh-CN"/>
        </w:rPr>
        <w:t>6.87</w:t>
      </w:r>
      <w:r>
        <w:rPr>
          <w:rFonts w:hint="default" w:ascii="宋体" w:hAnsi="宋体" w:eastAsia="宋体" w:cs="宋体"/>
          <w:bCs/>
          <w:color w:val="auto"/>
          <w:kern w:val="0"/>
          <w:sz w:val="30"/>
          <w:szCs w:val="30"/>
        </w:rPr>
        <w:t>mg/m</w:t>
      </w:r>
      <w:r>
        <w:rPr>
          <w:rFonts w:hint="default" w:ascii="宋体" w:hAnsi="宋体" w:eastAsia="宋体" w:cs="宋体"/>
          <w:bCs/>
          <w:color w:val="auto"/>
          <w:kern w:val="0"/>
          <w:sz w:val="30"/>
          <w:szCs w:val="30"/>
          <w:vertAlign w:val="superscript"/>
        </w:rPr>
        <w:t>3</w:t>
      </w:r>
      <w:r>
        <w:rPr>
          <w:rFonts w:hint="default" w:ascii="宋体" w:hAnsi="宋体" w:eastAsia="宋体" w:cs="宋体"/>
          <w:bCs/>
          <w:color w:val="auto"/>
          <w:kern w:val="0"/>
          <w:sz w:val="30"/>
          <w:szCs w:val="30"/>
        </w:rPr>
        <w:t>，</w:t>
      </w:r>
      <w:r>
        <w:rPr>
          <w:rFonts w:hint="eastAsia" w:ascii="宋体" w:hAnsi="宋体" w:eastAsia="宋体" w:cs="宋体"/>
          <w:bCs/>
          <w:color w:val="auto"/>
          <w:kern w:val="0"/>
          <w:sz w:val="30"/>
          <w:szCs w:val="30"/>
          <w:lang w:eastAsia="zh-CN"/>
        </w:rPr>
        <w:t>平均去除效率为</w:t>
      </w:r>
      <w:r>
        <w:rPr>
          <w:rFonts w:hint="eastAsia" w:ascii="宋体" w:hAnsi="宋体" w:eastAsia="宋体" w:cs="宋体"/>
          <w:bCs/>
          <w:color w:val="auto"/>
          <w:kern w:val="0"/>
          <w:sz w:val="30"/>
          <w:szCs w:val="30"/>
          <w:lang w:val="en-US" w:eastAsia="zh-CN"/>
        </w:rPr>
        <w:t>92.41%，</w:t>
      </w:r>
      <w:r>
        <w:rPr>
          <w:rFonts w:hint="default" w:ascii="宋体" w:hAnsi="宋体" w:eastAsia="宋体" w:cs="宋体"/>
          <w:bCs/>
          <w:color w:val="auto"/>
          <w:kern w:val="0"/>
          <w:sz w:val="30"/>
          <w:szCs w:val="30"/>
        </w:rPr>
        <w:t>符合</w:t>
      </w:r>
      <w:r>
        <w:rPr>
          <w:rFonts w:hint="default" w:ascii="宋体" w:hAnsi="宋体" w:eastAsia="宋体" w:cs="宋体"/>
          <w:bCs/>
          <w:color w:val="auto"/>
          <w:kern w:val="0"/>
          <w:sz w:val="30"/>
          <w:szCs w:val="30"/>
          <w:lang w:val="en-US" w:eastAsia="zh-CN"/>
        </w:rPr>
        <w:t>《山西省重点行业挥发性有机物（VOCs）2017年专项治理方案》表1标准</w:t>
      </w:r>
      <w:r>
        <w:rPr>
          <w:rFonts w:hint="default" w:ascii="宋体" w:hAnsi="宋体" w:eastAsia="宋体" w:cs="宋体"/>
          <w:bCs/>
          <w:color w:val="auto"/>
          <w:kern w:val="0"/>
          <w:sz w:val="30"/>
          <w:szCs w:val="30"/>
        </w:rPr>
        <w:t>，最高允许排放浓度</w:t>
      </w:r>
      <w:r>
        <w:rPr>
          <w:rFonts w:hint="eastAsia" w:ascii="宋体" w:hAnsi="宋体" w:eastAsia="宋体" w:cs="宋体"/>
          <w:bCs/>
          <w:color w:val="auto"/>
          <w:kern w:val="0"/>
          <w:sz w:val="30"/>
          <w:szCs w:val="30"/>
          <w:lang w:val="en-US" w:eastAsia="zh-CN"/>
        </w:rPr>
        <w:t>60</w:t>
      </w:r>
      <w:r>
        <w:rPr>
          <w:rFonts w:hint="default" w:ascii="宋体" w:hAnsi="宋体" w:eastAsia="宋体" w:cs="宋体"/>
          <w:bCs/>
          <w:color w:val="auto"/>
          <w:kern w:val="0"/>
          <w:sz w:val="30"/>
          <w:szCs w:val="30"/>
        </w:rPr>
        <w:t>mg/Nm</w:t>
      </w:r>
      <w:r>
        <w:rPr>
          <w:rFonts w:hint="default" w:ascii="宋体" w:hAnsi="宋体" w:eastAsia="宋体" w:cs="宋体"/>
          <w:bCs/>
          <w:color w:val="auto"/>
          <w:kern w:val="0"/>
          <w:sz w:val="30"/>
          <w:szCs w:val="30"/>
          <w:vertAlign w:val="superscript"/>
        </w:rPr>
        <w:t>3</w:t>
      </w:r>
      <w:r>
        <w:rPr>
          <w:rFonts w:hint="eastAsia" w:ascii="宋体" w:hAnsi="宋体" w:eastAsia="宋体" w:cs="宋体"/>
          <w:bCs/>
          <w:color w:val="auto"/>
          <w:kern w:val="0"/>
          <w:sz w:val="30"/>
          <w:szCs w:val="30"/>
          <w:lang w:val="en-US" w:eastAsia="zh-CN"/>
        </w:rPr>
        <w:t>的</w:t>
      </w:r>
      <w:r>
        <w:rPr>
          <w:rFonts w:hint="default" w:ascii="宋体" w:hAnsi="宋体" w:eastAsia="宋体" w:cs="宋体"/>
          <w:bCs/>
          <w:color w:val="auto"/>
          <w:kern w:val="0"/>
          <w:sz w:val="30"/>
          <w:szCs w:val="30"/>
        </w:rPr>
        <w:t>要求。</w:t>
      </w:r>
    </w:p>
    <w:p>
      <w:pPr>
        <w:spacing w:line="540" w:lineRule="exact"/>
        <w:ind w:firstLine="600" w:firstLineChars="200"/>
        <w:rPr>
          <w:rFonts w:ascii="宋体" w:hAnsi="宋体" w:cs="宋体"/>
          <w:bCs/>
          <w:color w:val="auto"/>
          <w:kern w:val="0"/>
          <w:sz w:val="30"/>
          <w:szCs w:val="30"/>
        </w:rPr>
      </w:pPr>
      <w:r>
        <w:rPr>
          <w:rFonts w:hint="eastAsia" w:ascii="宋体" w:hAnsi="宋体" w:cs="宋体"/>
          <w:bCs/>
          <w:color w:val="auto"/>
          <w:kern w:val="0"/>
          <w:sz w:val="30"/>
          <w:szCs w:val="30"/>
        </w:rPr>
        <w:t>晾干房废气非甲烷总烃进口浓度为57.4-63.7mg/m</w:t>
      </w:r>
      <w:r>
        <w:rPr>
          <w:rFonts w:hint="eastAsia" w:ascii="宋体" w:hAnsi="宋体" w:cs="宋体"/>
          <w:bCs/>
          <w:color w:val="auto"/>
          <w:kern w:val="0"/>
          <w:sz w:val="30"/>
          <w:szCs w:val="30"/>
          <w:vertAlign w:val="superscript"/>
        </w:rPr>
        <w:t>3</w:t>
      </w:r>
      <w:r>
        <w:rPr>
          <w:rFonts w:hint="eastAsia" w:ascii="宋体" w:hAnsi="宋体" w:cs="宋体"/>
          <w:bCs/>
          <w:color w:val="auto"/>
          <w:kern w:val="0"/>
          <w:sz w:val="30"/>
          <w:szCs w:val="30"/>
        </w:rPr>
        <w:t>，排放口排放浓度为4.18-4.88mg/m</w:t>
      </w:r>
      <w:r>
        <w:rPr>
          <w:rFonts w:hint="eastAsia" w:ascii="宋体" w:hAnsi="宋体" w:cs="宋体"/>
          <w:bCs/>
          <w:color w:val="auto"/>
          <w:kern w:val="0"/>
          <w:sz w:val="30"/>
          <w:szCs w:val="30"/>
          <w:vertAlign w:val="superscript"/>
        </w:rPr>
        <w:t>3</w:t>
      </w:r>
      <w:r>
        <w:rPr>
          <w:rFonts w:hint="eastAsia" w:ascii="宋体" w:hAnsi="宋体" w:cs="宋体"/>
          <w:bCs/>
          <w:color w:val="auto"/>
          <w:kern w:val="0"/>
          <w:sz w:val="30"/>
          <w:szCs w:val="30"/>
        </w:rPr>
        <w:t>，平均去除效率</w:t>
      </w:r>
      <w:r>
        <w:rPr>
          <w:rFonts w:hint="eastAsia" w:ascii="宋体" w:hAnsi="宋体" w:eastAsia="宋体" w:cs="宋体"/>
          <w:bCs/>
          <w:color w:val="auto"/>
          <w:kern w:val="0"/>
          <w:sz w:val="30"/>
          <w:szCs w:val="30"/>
        </w:rPr>
        <w:t>为</w:t>
      </w:r>
      <w:r>
        <w:rPr>
          <w:rFonts w:hint="eastAsia" w:ascii="宋体" w:hAnsi="宋体" w:eastAsia="宋体" w:cs="宋体"/>
          <w:bCs/>
          <w:color w:val="auto"/>
          <w:kern w:val="0"/>
          <w:sz w:val="30"/>
          <w:szCs w:val="30"/>
          <w:lang w:val="en-US" w:eastAsia="zh-CN"/>
        </w:rPr>
        <w:t>92.59%</w:t>
      </w:r>
      <w:r>
        <w:rPr>
          <w:rFonts w:hint="eastAsia" w:ascii="宋体" w:hAnsi="宋体" w:cs="宋体"/>
          <w:bCs/>
          <w:color w:val="auto"/>
          <w:kern w:val="0"/>
          <w:sz w:val="30"/>
          <w:szCs w:val="30"/>
        </w:rPr>
        <w:t>，符合《山西省重点行业挥发性有机物（VOCs）2017年专项治理方案》表1标准，最高允许排放浓度60mg/Nm</w:t>
      </w:r>
      <w:r>
        <w:rPr>
          <w:rFonts w:hint="eastAsia" w:ascii="宋体" w:hAnsi="宋体" w:cs="宋体"/>
          <w:bCs/>
          <w:color w:val="auto"/>
          <w:kern w:val="0"/>
          <w:sz w:val="30"/>
          <w:szCs w:val="30"/>
          <w:vertAlign w:val="superscript"/>
        </w:rPr>
        <w:t>3</w:t>
      </w:r>
      <w:r>
        <w:rPr>
          <w:rFonts w:hint="eastAsia" w:ascii="宋体" w:hAnsi="宋体" w:cs="宋体"/>
          <w:bCs/>
          <w:color w:val="auto"/>
          <w:kern w:val="0"/>
          <w:sz w:val="30"/>
          <w:szCs w:val="30"/>
        </w:rPr>
        <w:t>的要求。</w:t>
      </w:r>
    </w:p>
    <w:p>
      <w:pPr>
        <w:spacing w:line="540" w:lineRule="exact"/>
        <w:ind w:firstLine="600" w:firstLineChars="200"/>
        <w:rPr>
          <w:rFonts w:ascii="宋体" w:hAnsi="宋体" w:cs="宋体"/>
          <w:color w:val="auto"/>
          <w:kern w:val="0"/>
          <w:sz w:val="30"/>
          <w:szCs w:val="30"/>
        </w:rPr>
      </w:pPr>
      <w:r>
        <w:rPr>
          <w:rFonts w:hint="eastAsia" w:ascii="宋体" w:hAnsi="宋体" w:cs="宋体"/>
          <w:color w:val="auto"/>
          <w:kern w:val="0"/>
          <w:sz w:val="30"/>
          <w:szCs w:val="30"/>
        </w:rPr>
        <w:t>（2）</w:t>
      </w:r>
      <w:r>
        <w:rPr>
          <w:rFonts w:ascii="宋体" w:hAnsi="宋体" w:cs="宋体"/>
          <w:bCs/>
          <w:color w:val="auto"/>
          <w:kern w:val="0"/>
          <w:sz w:val="30"/>
          <w:szCs w:val="30"/>
        </w:rPr>
        <w:t>厂界无组织废气监测结果：</w:t>
      </w:r>
    </w:p>
    <w:p>
      <w:pPr>
        <w:spacing w:line="540" w:lineRule="exact"/>
        <w:ind w:firstLine="600" w:firstLineChars="200"/>
        <w:rPr>
          <w:rFonts w:ascii="宋体" w:hAnsi="宋体" w:cs="宋体"/>
          <w:bCs/>
          <w:color w:val="auto"/>
          <w:kern w:val="0"/>
          <w:sz w:val="30"/>
          <w:szCs w:val="30"/>
        </w:rPr>
      </w:pPr>
      <w:r>
        <w:rPr>
          <w:rFonts w:ascii="宋体" w:hAnsi="宋体" w:cs="宋体"/>
          <w:bCs/>
          <w:color w:val="auto"/>
          <w:kern w:val="0"/>
          <w:sz w:val="30"/>
          <w:szCs w:val="30"/>
        </w:rPr>
        <w:t>厂界无组织</w:t>
      </w:r>
      <w:r>
        <w:rPr>
          <w:rFonts w:hint="eastAsia" w:ascii="宋体" w:hAnsi="宋体" w:cs="宋体"/>
          <w:bCs/>
          <w:color w:val="auto"/>
          <w:kern w:val="0"/>
          <w:sz w:val="30"/>
          <w:szCs w:val="30"/>
        </w:rPr>
        <w:t>颗粒物</w:t>
      </w:r>
      <w:r>
        <w:rPr>
          <w:rFonts w:ascii="宋体" w:hAnsi="宋体" w:cs="宋体"/>
          <w:bCs/>
          <w:color w:val="auto"/>
          <w:kern w:val="0"/>
          <w:sz w:val="30"/>
          <w:szCs w:val="30"/>
        </w:rPr>
        <w:t>监控点最大浓度为</w:t>
      </w:r>
      <w:r>
        <w:rPr>
          <w:rFonts w:hint="eastAsia" w:ascii="宋体" w:hAnsi="宋体" w:cs="宋体"/>
          <w:bCs/>
          <w:color w:val="auto"/>
          <w:kern w:val="0"/>
          <w:sz w:val="30"/>
          <w:szCs w:val="30"/>
        </w:rPr>
        <w:t>357μg/m</w:t>
      </w:r>
      <w:r>
        <w:rPr>
          <w:rFonts w:hint="eastAsia" w:ascii="宋体" w:hAnsi="宋体" w:cs="宋体"/>
          <w:bCs/>
          <w:color w:val="auto"/>
          <w:kern w:val="0"/>
          <w:sz w:val="30"/>
          <w:szCs w:val="30"/>
          <w:vertAlign w:val="superscript"/>
        </w:rPr>
        <w:t>3</w:t>
      </w:r>
      <w:r>
        <w:rPr>
          <w:rFonts w:ascii="宋体" w:hAnsi="宋体" w:cs="宋体"/>
          <w:bCs/>
          <w:color w:val="auto"/>
          <w:kern w:val="0"/>
          <w:sz w:val="30"/>
          <w:szCs w:val="30"/>
        </w:rPr>
        <w:t>，符合《</w:t>
      </w:r>
      <w:r>
        <w:rPr>
          <w:rFonts w:hint="eastAsia" w:ascii="宋体" w:hAnsi="宋体" w:cs="宋体"/>
          <w:bCs/>
          <w:color w:val="auto"/>
          <w:kern w:val="0"/>
          <w:sz w:val="30"/>
          <w:szCs w:val="30"/>
        </w:rPr>
        <w:t>大气污染物综合排放标准</w:t>
      </w:r>
      <w:r>
        <w:rPr>
          <w:rFonts w:ascii="宋体" w:hAnsi="宋体" w:cs="宋体"/>
          <w:bCs/>
          <w:color w:val="auto"/>
          <w:kern w:val="0"/>
          <w:sz w:val="30"/>
          <w:szCs w:val="30"/>
        </w:rPr>
        <w:t>》（</w:t>
      </w:r>
      <w:r>
        <w:rPr>
          <w:rFonts w:hint="eastAsia" w:ascii="宋体" w:hAnsi="宋体" w:cs="宋体"/>
          <w:bCs/>
          <w:color w:val="auto"/>
          <w:kern w:val="0"/>
          <w:sz w:val="30"/>
          <w:szCs w:val="30"/>
        </w:rPr>
        <w:t>GB16297-1996</w:t>
      </w:r>
      <w:r>
        <w:rPr>
          <w:rFonts w:ascii="宋体" w:hAnsi="宋体" w:cs="宋体"/>
          <w:bCs/>
          <w:color w:val="auto"/>
          <w:kern w:val="0"/>
          <w:sz w:val="30"/>
          <w:szCs w:val="30"/>
        </w:rPr>
        <w:t>）中</w:t>
      </w:r>
      <w:r>
        <w:rPr>
          <w:rFonts w:hint="eastAsia" w:ascii="宋体" w:hAnsi="宋体" w:cs="宋体"/>
          <w:bCs/>
          <w:color w:val="auto"/>
          <w:kern w:val="0"/>
          <w:sz w:val="30"/>
          <w:szCs w:val="30"/>
        </w:rPr>
        <w:t>表2新污染源大气污染物排放限值无组织排放监控浓度限值：1.0mg/m</w:t>
      </w:r>
      <w:r>
        <w:rPr>
          <w:rFonts w:hint="eastAsia" w:ascii="宋体" w:hAnsi="宋体" w:cs="宋体"/>
          <w:bCs/>
          <w:color w:val="auto"/>
          <w:kern w:val="0"/>
          <w:sz w:val="30"/>
          <w:szCs w:val="30"/>
          <w:vertAlign w:val="superscript"/>
        </w:rPr>
        <w:t>3</w:t>
      </w:r>
      <w:r>
        <w:rPr>
          <w:rFonts w:ascii="宋体" w:hAnsi="宋体" w:cs="宋体"/>
          <w:bCs/>
          <w:color w:val="auto"/>
          <w:kern w:val="0"/>
          <w:sz w:val="30"/>
          <w:szCs w:val="30"/>
        </w:rPr>
        <w:t>要求。</w:t>
      </w:r>
      <w:r>
        <w:rPr>
          <w:rFonts w:hint="eastAsia" w:ascii="宋体" w:hAnsi="宋体" w:cs="宋体"/>
          <w:bCs/>
          <w:color w:val="auto"/>
          <w:kern w:val="0"/>
          <w:sz w:val="30"/>
          <w:szCs w:val="30"/>
        </w:rPr>
        <w:t>非甲烷总烃</w:t>
      </w:r>
      <w:r>
        <w:rPr>
          <w:rFonts w:ascii="宋体" w:hAnsi="宋体" w:cs="宋体"/>
          <w:bCs/>
          <w:color w:val="auto"/>
          <w:kern w:val="0"/>
          <w:sz w:val="30"/>
          <w:szCs w:val="30"/>
        </w:rPr>
        <w:t>监控点最大浓度为</w:t>
      </w:r>
      <w:r>
        <w:rPr>
          <w:rFonts w:hint="eastAsia" w:ascii="宋体" w:hAnsi="宋体" w:cs="宋体"/>
          <w:bCs/>
          <w:color w:val="auto"/>
          <w:kern w:val="0"/>
          <w:sz w:val="30"/>
          <w:szCs w:val="30"/>
        </w:rPr>
        <w:t>1.41mg/m</w:t>
      </w:r>
      <w:r>
        <w:rPr>
          <w:rFonts w:hint="eastAsia" w:ascii="宋体" w:hAnsi="宋体" w:cs="宋体"/>
          <w:bCs/>
          <w:color w:val="auto"/>
          <w:kern w:val="0"/>
          <w:sz w:val="30"/>
          <w:szCs w:val="30"/>
          <w:vertAlign w:val="superscript"/>
        </w:rPr>
        <w:t>3</w:t>
      </w:r>
      <w:r>
        <w:rPr>
          <w:rFonts w:hint="eastAsia" w:ascii="宋体" w:hAnsi="宋体" w:cs="宋体"/>
          <w:bCs/>
          <w:color w:val="auto"/>
          <w:kern w:val="0"/>
          <w:sz w:val="30"/>
          <w:szCs w:val="30"/>
        </w:rPr>
        <w:t>，符合</w:t>
      </w:r>
      <w:r>
        <w:rPr>
          <w:rFonts w:ascii="宋体" w:hAnsi="宋体" w:cs="宋体"/>
          <w:bCs/>
          <w:color w:val="auto"/>
          <w:kern w:val="0"/>
          <w:sz w:val="30"/>
          <w:szCs w:val="30"/>
        </w:rPr>
        <w:t>《山西省重点行业挥发性有机物（VOCs）2017年专项治理方案》中企业边界排放</w:t>
      </w:r>
      <w:r>
        <w:rPr>
          <w:rFonts w:hint="eastAsia" w:ascii="宋体" w:hAnsi="宋体" w:cs="宋体"/>
          <w:bCs/>
          <w:color w:val="auto"/>
          <w:kern w:val="0"/>
          <w:sz w:val="30"/>
          <w:szCs w:val="30"/>
        </w:rPr>
        <w:t>2.0mg/m</w:t>
      </w:r>
      <w:r>
        <w:rPr>
          <w:rFonts w:hint="eastAsia" w:ascii="宋体" w:hAnsi="宋体" w:cs="宋体"/>
          <w:bCs/>
          <w:color w:val="auto"/>
          <w:kern w:val="0"/>
          <w:sz w:val="30"/>
          <w:szCs w:val="30"/>
          <w:vertAlign w:val="superscript"/>
        </w:rPr>
        <w:t>3</w:t>
      </w:r>
      <w:r>
        <w:rPr>
          <w:rFonts w:ascii="宋体" w:hAnsi="宋体" w:cs="宋体"/>
          <w:bCs/>
          <w:color w:val="auto"/>
          <w:kern w:val="0"/>
          <w:sz w:val="30"/>
          <w:szCs w:val="30"/>
        </w:rPr>
        <w:t>限值控制要求</w:t>
      </w:r>
      <w:r>
        <w:rPr>
          <w:rFonts w:hint="eastAsia" w:ascii="宋体" w:hAnsi="宋体" w:cs="宋体"/>
          <w:bCs/>
          <w:color w:val="auto"/>
          <w:kern w:val="0"/>
          <w:sz w:val="30"/>
          <w:szCs w:val="30"/>
        </w:rPr>
        <w:t>。</w:t>
      </w:r>
    </w:p>
    <w:p>
      <w:pPr>
        <w:spacing w:line="540" w:lineRule="exact"/>
        <w:ind w:firstLine="600" w:firstLineChars="200"/>
        <w:rPr>
          <w:rFonts w:ascii="宋体" w:hAnsi="宋体" w:eastAsia="宋体" w:cs="宋体"/>
          <w:bCs/>
          <w:color w:val="auto"/>
          <w:kern w:val="0"/>
          <w:sz w:val="30"/>
          <w:szCs w:val="30"/>
        </w:rPr>
      </w:pPr>
      <w:r>
        <w:rPr>
          <w:rFonts w:ascii="宋体" w:hAnsi="宋体" w:cs="宋体"/>
          <w:bCs/>
          <w:color w:val="auto"/>
          <w:kern w:val="0"/>
          <w:sz w:val="30"/>
          <w:szCs w:val="30"/>
        </w:rPr>
        <w:t>厂内无组织非甲烷总烃监控点最大浓度为</w:t>
      </w:r>
      <w:r>
        <w:rPr>
          <w:rFonts w:hint="eastAsia" w:ascii="宋体" w:hAnsi="宋体" w:cs="宋体"/>
          <w:bCs/>
          <w:color w:val="auto"/>
          <w:kern w:val="0"/>
          <w:sz w:val="30"/>
          <w:szCs w:val="30"/>
        </w:rPr>
        <w:t>1.84</w:t>
      </w:r>
      <w:r>
        <w:rPr>
          <w:rFonts w:ascii="宋体" w:hAnsi="宋体" w:cs="宋体"/>
          <w:bCs/>
          <w:color w:val="auto"/>
          <w:kern w:val="0"/>
          <w:sz w:val="30"/>
          <w:szCs w:val="30"/>
        </w:rPr>
        <w:t>mg/m</w:t>
      </w:r>
      <w:r>
        <w:rPr>
          <w:rFonts w:ascii="宋体" w:hAnsi="宋体" w:cs="宋体"/>
          <w:bCs/>
          <w:color w:val="auto"/>
          <w:kern w:val="0"/>
          <w:sz w:val="30"/>
          <w:szCs w:val="30"/>
          <w:vertAlign w:val="superscript"/>
        </w:rPr>
        <w:t>3</w:t>
      </w:r>
      <w:r>
        <w:rPr>
          <w:rFonts w:ascii="宋体" w:hAnsi="宋体" w:cs="宋体"/>
          <w:bCs/>
          <w:color w:val="auto"/>
          <w:kern w:val="0"/>
          <w:sz w:val="30"/>
          <w:szCs w:val="30"/>
        </w:rPr>
        <w:t>，满足《挥发性有机物无组织排放控制标准》（GB 37822-2019）附录A特别排</w:t>
      </w:r>
      <w:r>
        <w:rPr>
          <w:rFonts w:ascii="宋体" w:hAnsi="宋体" w:eastAsia="宋体" w:cs="宋体"/>
          <w:bCs/>
          <w:color w:val="auto"/>
          <w:kern w:val="0"/>
          <w:sz w:val="30"/>
          <w:szCs w:val="30"/>
        </w:rPr>
        <w:t>放标准限值。</w:t>
      </w:r>
    </w:p>
    <w:p>
      <w:pPr>
        <w:spacing w:line="540" w:lineRule="exact"/>
        <w:ind w:firstLine="600" w:firstLineChars="200"/>
        <w:rPr>
          <w:rFonts w:hAnsi="宋体"/>
          <w:bCs/>
          <w:color w:val="auto"/>
          <w:sz w:val="30"/>
          <w:szCs w:val="30"/>
        </w:rPr>
      </w:pPr>
      <w:r>
        <w:rPr>
          <w:rFonts w:ascii="宋体" w:hAnsi="宋体" w:eastAsia="宋体" w:cs="宋体"/>
          <w:bCs/>
          <w:color w:val="auto"/>
          <w:kern w:val="0"/>
          <w:sz w:val="30"/>
          <w:szCs w:val="30"/>
        </w:rPr>
        <w:t>（</w:t>
      </w:r>
      <w:r>
        <w:rPr>
          <w:rFonts w:hint="eastAsia" w:ascii="宋体" w:hAnsi="宋体" w:eastAsia="宋体" w:cs="宋体"/>
          <w:bCs/>
          <w:color w:val="auto"/>
          <w:kern w:val="0"/>
          <w:sz w:val="30"/>
          <w:szCs w:val="30"/>
        </w:rPr>
        <w:t>3</w:t>
      </w:r>
      <w:r>
        <w:rPr>
          <w:rFonts w:ascii="宋体" w:hAnsi="宋体" w:eastAsia="宋体" w:cs="宋体"/>
          <w:bCs/>
          <w:color w:val="auto"/>
          <w:kern w:val="0"/>
          <w:sz w:val="30"/>
          <w:szCs w:val="30"/>
        </w:rPr>
        <w:t>）</w:t>
      </w:r>
      <w:r>
        <w:rPr>
          <w:rFonts w:hint="eastAsia" w:ascii="宋体" w:hAnsi="宋体" w:eastAsia="宋体" w:cs="宋体"/>
          <w:bCs/>
          <w:color w:val="auto"/>
          <w:kern w:val="0"/>
          <w:sz w:val="30"/>
          <w:szCs w:val="30"/>
        </w:rPr>
        <w:t>本项目喷漆房粉尘排放总量为0.0</w:t>
      </w:r>
      <w:r>
        <w:rPr>
          <w:rFonts w:ascii="宋体" w:hAnsi="宋体" w:eastAsia="宋体" w:cs="宋体"/>
          <w:bCs/>
          <w:color w:val="auto"/>
          <w:kern w:val="0"/>
          <w:sz w:val="30"/>
          <w:szCs w:val="30"/>
        </w:rPr>
        <w:t>56</w:t>
      </w:r>
      <w:r>
        <w:rPr>
          <w:rFonts w:hint="eastAsia" w:ascii="宋体" w:hAnsi="宋体" w:eastAsia="宋体" w:cs="宋体"/>
          <w:bCs/>
          <w:color w:val="auto"/>
          <w:kern w:val="0"/>
          <w:sz w:val="30"/>
          <w:szCs w:val="30"/>
        </w:rPr>
        <w:t>t/a，2022年8月已验收切割、焊接</w:t>
      </w:r>
      <w:r>
        <w:rPr>
          <w:rFonts w:hint="eastAsia" w:ascii="宋体" w:hAnsi="宋体" w:cs="宋体"/>
          <w:bCs/>
          <w:color w:val="auto"/>
          <w:kern w:val="0"/>
          <w:sz w:val="30"/>
          <w:szCs w:val="30"/>
        </w:rPr>
        <w:t>粉尘排放总量为0.</w:t>
      </w:r>
      <w:r>
        <w:rPr>
          <w:rFonts w:ascii="宋体" w:hAnsi="宋体" w:cs="宋体"/>
          <w:bCs/>
          <w:color w:val="auto"/>
          <w:kern w:val="0"/>
          <w:sz w:val="30"/>
          <w:szCs w:val="30"/>
        </w:rPr>
        <w:t>158</w:t>
      </w:r>
      <w:r>
        <w:rPr>
          <w:rFonts w:hint="eastAsia" w:ascii="宋体" w:hAnsi="宋体" w:cs="宋体"/>
          <w:bCs/>
          <w:color w:val="auto"/>
          <w:kern w:val="0"/>
          <w:sz w:val="30"/>
          <w:szCs w:val="30"/>
        </w:rPr>
        <w:t>t/a，</w:t>
      </w:r>
      <w:r>
        <w:rPr>
          <w:rFonts w:hint="eastAsia" w:hAnsi="宋体"/>
          <w:bCs/>
          <w:color w:val="auto"/>
          <w:sz w:val="30"/>
          <w:szCs w:val="30"/>
        </w:rPr>
        <w:t>符合长治市生态环境局高新区分局（长高环函[2020]10号)下达的对本项目粉尘总量控制指标</w:t>
      </w:r>
      <w:r>
        <w:rPr>
          <w:rFonts w:hint="eastAsia" w:ascii="宋体" w:hAnsi="宋体" w:eastAsia="宋体" w:cs="宋体"/>
          <w:bCs/>
          <w:color w:val="auto"/>
          <w:kern w:val="0"/>
          <w:sz w:val="30"/>
          <w:szCs w:val="30"/>
        </w:rPr>
        <w:t>0.219t/a的</w:t>
      </w:r>
      <w:r>
        <w:rPr>
          <w:rFonts w:hint="eastAsia" w:hAnsi="宋体"/>
          <w:bCs/>
          <w:color w:val="auto"/>
          <w:sz w:val="30"/>
          <w:szCs w:val="30"/>
        </w:rPr>
        <w:t>审核要求。</w:t>
      </w:r>
    </w:p>
    <w:p>
      <w:pPr>
        <w:pStyle w:val="15"/>
        <w:spacing w:before="78" w:line="540" w:lineRule="exact"/>
        <w:ind w:firstLine="602"/>
        <w:jc w:val="left"/>
        <w:rPr>
          <w:rFonts w:ascii="宋体"/>
          <w:b/>
          <w:color w:val="auto"/>
          <w:spacing w:val="0"/>
          <w:sz w:val="30"/>
          <w:szCs w:val="30"/>
        </w:rPr>
      </w:pPr>
      <w:r>
        <w:rPr>
          <w:rFonts w:hint="eastAsia" w:ascii="宋体"/>
          <w:b/>
          <w:color w:val="auto"/>
          <w:spacing w:val="0"/>
          <w:sz w:val="30"/>
          <w:szCs w:val="30"/>
        </w:rPr>
        <w:t>2、废水污染物调查情况</w:t>
      </w:r>
    </w:p>
    <w:p>
      <w:pPr>
        <w:spacing w:line="540" w:lineRule="exact"/>
        <w:ind w:firstLine="600" w:firstLineChars="200"/>
        <w:jc w:val="left"/>
        <w:rPr>
          <w:rFonts w:ascii="宋体" w:hAnsi="宋体" w:cs="宋体"/>
          <w:color w:val="auto"/>
          <w:kern w:val="0"/>
          <w:sz w:val="30"/>
          <w:szCs w:val="30"/>
        </w:rPr>
      </w:pPr>
      <w:r>
        <w:rPr>
          <w:rFonts w:hint="eastAsia" w:ascii="宋体" w:hAnsi="宋体" w:cs="宋体"/>
          <w:color w:val="auto"/>
          <w:kern w:val="0"/>
          <w:sz w:val="30"/>
          <w:szCs w:val="30"/>
        </w:rPr>
        <w:t>本次验收无废水排放。</w:t>
      </w:r>
    </w:p>
    <w:p>
      <w:pPr>
        <w:spacing w:line="540" w:lineRule="exact"/>
        <w:ind w:firstLine="602" w:firstLineChars="200"/>
        <w:jc w:val="left"/>
        <w:rPr>
          <w:rFonts w:ascii="宋体" w:hAnsi="宋体" w:cs="宋体"/>
          <w:b/>
          <w:bCs/>
          <w:color w:val="auto"/>
          <w:kern w:val="0"/>
          <w:sz w:val="30"/>
          <w:szCs w:val="30"/>
        </w:rPr>
      </w:pPr>
      <w:r>
        <w:rPr>
          <w:rFonts w:hint="eastAsia" w:ascii="宋体" w:hAnsi="宋体" w:cs="宋体"/>
          <w:b/>
          <w:bCs/>
          <w:color w:val="auto"/>
          <w:kern w:val="0"/>
          <w:sz w:val="30"/>
          <w:szCs w:val="30"/>
        </w:rPr>
        <w:t>3、噪声污染物调查及监测结果</w:t>
      </w:r>
    </w:p>
    <w:p>
      <w:pPr>
        <w:spacing w:line="540" w:lineRule="exact"/>
        <w:ind w:firstLine="600" w:firstLineChars="200"/>
        <w:rPr>
          <w:rFonts w:ascii="宋体" w:hAnsi="宋体" w:cs="宋体"/>
          <w:color w:val="auto"/>
          <w:kern w:val="0"/>
          <w:sz w:val="30"/>
          <w:szCs w:val="30"/>
        </w:rPr>
      </w:pPr>
      <w:r>
        <w:rPr>
          <w:rFonts w:hint="eastAsia" w:ascii="宋体" w:hAnsi="宋体" w:cs="宋体"/>
          <w:color w:val="auto"/>
          <w:kern w:val="0"/>
          <w:sz w:val="30"/>
          <w:szCs w:val="30"/>
        </w:rPr>
        <w:t>本项目</w:t>
      </w:r>
      <w:r>
        <w:rPr>
          <w:rFonts w:ascii="宋体" w:hAnsi="宋体" w:cs="宋体"/>
          <w:color w:val="auto"/>
          <w:kern w:val="0"/>
          <w:sz w:val="30"/>
          <w:szCs w:val="30"/>
        </w:rPr>
        <w:t>厂界噪声监测结果显示，</w:t>
      </w:r>
      <w:r>
        <w:rPr>
          <w:rFonts w:hint="eastAsia" w:ascii="宋体" w:hAnsi="宋体" w:cs="宋体"/>
          <w:color w:val="auto"/>
          <w:kern w:val="0"/>
          <w:sz w:val="30"/>
          <w:szCs w:val="30"/>
        </w:rPr>
        <w:t>厂界四周噪声昼间等效声级为56.7-58.3dB(A)，夜间等效声级为46.7-48.2dB（A），满足《工业企业厂界环境噪声排放标准》（GB12348-2008）中2类区昼间60dB(A)夜间50</w:t>
      </w:r>
      <w:r>
        <w:rPr>
          <w:rFonts w:ascii="宋体" w:hAnsi="宋体" w:cs="宋体"/>
          <w:color w:val="auto"/>
          <w:kern w:val="0"/>
          <w:sz w:val="30"/>
          <w:szCs w:val="30"/>
        </w:rPr>
        <w:t>d</w:t>
      </w:r>
      <w:r>
        <w:rPr>
          <w:rFonts w:hint="eastAsia" w:ascii="宋体" w:hAnsi="宋体" w:cs="宋体"/>
          <w:color w:val="auto"/>
          <w:kern w:val="0"/>
          <w:sz w:val="30"/>
          <w:szCs w:val="30"/>
        </w:rPr>
        <w:t>B(A)标准限值。</w:t>
      </w:r>
    </w:p>
    <w:p>
      <w:pPr>
        <w:pStyle w:val="15"/>
        <w:spacing w:before="78" w:line="540" w:lineRule="exact"/>
        <w:ind w:firstLine="602"/>
        <w:jc w:val="left"/>
        <w:rPr>
          <w:rFonts w:ascii="宋体"/>
          <w:b/>
          <w:color w:val="auto"/>
          <w:spacing w:val="0"/>
          <w:sz w:val="30"/>
          <w:szCs w:val="30"/>
        </w:rPr>
      </w:pPr>
      <w:r>
        <w:rPr>
          <w:rFonts w:hint="eastAsia" w:ascii="宋体"/>
          <w:b/>
          <w:color w:val="auto"/>
          <w:spacing w:val="0"/>
          <w:sz w:val="30"/>
          <w:szCs w:val="30"/>
        </w:rPr>
        <w:t>4、固体废物污染物调查情况</w:t>
      </w:r>
    </w:p>
    <w:p>
      <w:pPr>
        <w:pStyle w:val="14"/>
        <w:spacing w:line="540" w:lineRule="exact"/>
        <w:ind w:firstLine="600"/>
        <w:rPr>
          <w:rFonts w:ascii="宋体" w:hAnsi="宋体" w:cs="宋体"/>
          <w:color w:val="auto"/>
          <w:kern w:val="0"/>
          <w:sz w:val="30"/>
          <w:szCs w:val="30"/>
        </w:rPr>
      </w:pPr>
      <w:r>
        <w:rPr>
          <w:rFonts w:hint="eastAsia" w:ascii="宋体" w:hAnsi="宋体" w:cs="宋体"/>
          <w:color w:val="auto"/>
          <w:kern w:val="0"/>
          <w:sz w:val="30"/>
          <w:szCs w:val="30"/>
        </w:rPr>
        <w:t>废活性炭暂存于危废暂存间，交有资质单位处置。</w:t>
      </w:r>
    </w:p>
    <w:p>
      <w:pPr>
        <w:pStyle w:val="14"/>
        <w:spacing w:line="540" w:lineRule="exact"/>
        <w:ind w:firstLine="602"/>
        <w:rPr>
          <w:rFonts w:ascii="宋体" w:hAnsi="宋体" w:cs="宋体"/>
          <w:b/>
          <w:bCs/>
          <w:color w:val="auto"/>
          <w:kern w:val="0"/>
          <w:sz w:val="30"/>
          <w:szCs w:val="30"/>
        </w:rPr>
      </w:pPr>
      <w:r>
        <w:rPr>
          <w:rFonts w:hint="eastAsia" w:ascii="宋体" w:hAnsi="宋体" w:cs="宋体"/>
          <w:b/>
          <w:bCs/>
          <w:color w:val="auto"/>
          <w:kern w:val="0"/>
          <w:sz w:val="30"/>
          <w:szCs w:val="30"/>
        </w:rPr>
        <w:t>五、工程建设对环境的影响</w:t>
      </w:r>
    </w:p>
    <w:p>
      <w:pPr>
        <w:pStyle w:val="14"/>
        <w:spacing w:line="540" w:lineRule="exact"/>
        <w:ind w:firstLine="600"/>
        <w:rPr>
          <w:rFonts w:ascii="宋体" w:hAnsi="宋体" w:cs="宋体"/>
          <w:color w:val="auto"/>
          <w:kern w:val="0"/>
          <w:sz w:val="30"/>
          <w:szCs w:val="30"/>
        </w:rPr>
      </w:pPr>
      <w:r>
        <w:rPr>
          <w:rFonts w:hint="eastAsia" w:ascii="宋体" w:hAnsi="宋体" w:cs="宋体"/>
          <w:color w:val="auto"/>
          <w:kern w:val="0"/>
          <w:sz w:val="30"/>
          <w:szCs w:val="30"/>
        </w:rPr>
        <w:t>项目运营过程产生的废气、废水、噪声、固废等，经采取污染治理措施后，可稳定达标排放，对周围环境的影响较小。</w:t>
      </w:r>
    </w:p>
    <w:p>
      <w:pPr>
        <w:pStyle w:val="14"/>
        <w:spacing w:line="540" w:lineRule="exact"/>
        <w:ind w:firstLine="602"/>
        <w:rPr>
          <w:rFonts w:ascii="宋体" w:hAnsi="宋体" w:cs="宋体"/>
          <w:b/>
          <w:bCs/>
          <w:color w:val="auto"/>
          <w:kern w:val="0"/>
          <w:sz w:val="30"/>
          <w:szCs w:val="30"/>
        </w:rPr>
      </w:pPr>
      <w:r>
        <w:rPr>
          <w:rFonts w:hint="eastAsia" w:ascii="宋体" w:hAnsi="宋体" w:cs="宋体"/>
          <w:b/>
          <w:bCs/>
          <w:color w:val="auto"/>
          <w:kern w:val="0"/>
          <w:sz w:val="30"/>
          <w:szCs w:val="30"/>
        </w:rPr>
        <w:t>六、验收结论</w:t>
      </w:r>
    </w:p>
    <w:p>
      <w:pPr>
        <w:pStyle w:val="14"/>
        <w:spacing w:line="540" w:lineRule="exact"/>
        <w:ind w:firstLine="600"/>
        <w:rPr>
          <w:rFonts w:ascii="宋体" w:hAnsi="宋体" w:cs="宋体"/>
          <w:color w:val="auto"/>
          <w:sz w:val="30"/>
          <w:szCs w:val="30"/>
        </w:rPr>
      </w:pPr>
      <w:r>
        <w:rPr>
          <w:rFonts w:hint="eastAsia" w:ascii="宋体" w:hAnsi="宋体" w:cs="宋体"/>
          <w:color w:val="auto"/>
          <w:sz w:val="30"/>
          <w:szCs w:val="30"/>
        </w:rPr>
        <w:t>山西绿建钢结构装配式制造产业及标准厂房建设项目</w:t>
      </w:r>
      <w:r>
        <w:rPr>
          <w:rFonts w:hint="eastAsia" w:ascii="宋体" w:hAnsi="宋体" w:cs="宋体"/>
          <w:color w:val="auto"/>
          <w:kern w:val="0"/>
          <w:sz w:val="30"/>
          <w:szCs w:val="30"/>
        </w:rPr>
        <w:t>进行了环境影响评价，提交的环境影响报告表经</w:t>
      </w:r>
      <w:r>
        <w:rPr>
          <w:rFonts w:hint="eastAsia" w:ascii="宋体" w:hAnsi="宋体" w:cs="宋体"/>
          <w:color w:val="auto"/>
          <w:sz w:val="30"/>
          <w:szCs w:val="30"/>
        </w:rPr>
        <w:t>长治高新区行政审批局批复，该项目主要环保设施按照环评和批复要求进行了建设；现场核查项目无重大变动；监测结果表明，主要污染物可以做到达标排放，符合总量控制指标。验收组认为该项目具备竣工环境保护验收条件，同意通过验收。</w:t>
      </w:r>
    </w:p>
    <w:p>
      <w:pPr>
        <w:pStyle w:val="14"/>
        <w:spacing w:line="540" w:lineRule="exact"/>
        <w:ind w:firstLine="602"/>
        <w:rPr>
          <w:rFonts w:ascii="宋体" w:hAnsi="宋体" w:cs="宋体"/>
          <w:b/>
          <w:bCs/>
          <w:color w:val="auto"/>
          <w:sz w:val="30"/>
          <w:szCs w:val="30"/>
        </w:rPr>
      </w:pPr>
      <w:r>
        <w:rPr>
          <w:rFonts w:hint="eastAsia" w:ascii="宋体" w:hAnsi="宋体" w:cs="宋体"/>
          <w:b/>
          <w:bCs/>
          <w:color w:val="auto"/>
          <w:sz w:val="30"/>
          <w:szCs w:val="30"/>
        </w:rPr>
        <w:t>七、后续要求</w:t>
      </w:r>
    </w:p>
    <w:p>
      <w:pPr>
        <w:pStyle w:val="14"/>
        <w:spacing w:line="540" w:lineRule="exact"/>
        <w:ind w:firstLine="600"/>
        <w:rPr>
          <w:rFonts w:ascii="宋体" w:hAnsi="宋体" w:cs="宋体"/>
          <w:color w:val="auto"/>
          <w:sz w:val="30"/>
          <w:szCs w:val="30"/>
        </w:rPr>
      </w:pPr>
      <w:r>
        <w:rPr>
          <w:rFonts w:hint="eastAsia" w:ascii="宋体" w:hAnsi="宋体" w:cs="宋体"/>
          <w:color w:val="auto"/>
          <w:sz w:val="30"/>
          <w:szCs w:val="30"/>
        </w:rPr>
        <w:t>1、加强厂区环保设施管理，确保污染物稳定达标排放。</w:t>
      </w:r>
    </w:p>
    <w:p>
      <w:pPr>
        <w:pStyle w:val="14"/>
        <w:spacing w:line="540" w:lineRule="exact"/>
        <w:ind w:firstLine="600"/>
        <w:rPr>
          <w:rFonts w:ascii="宋体" w:hAnsi="宋体" w:cs="宋体"/>
          <w:color w:val="auto"/>
          <w:sz w:val="30"/>
          <w:szCs w:val="30"/>
        </w:rPr>
      </w:pPr>
      <w:r>
        <w:rPr>
          <w:rFonts w:ascii="宋体" w:hAnsi="宋体" w:cs="宋体"/>
          <w:color w:val="auto"/>
          <w:sz w:val="30"/>
          <w:szCs w:val="30"/>
        </w:rPr>
        <w:t>2</w:t>
      </w:r>
      <w:r>
        <w:rPr>
          <w:rFonts w:hint="eastAsia" w:ascii="宋体" w:hAnsi="宋体" w:cs="宋体"/>
          <w:color w:val="auto"/>
          <w:sz w:val="30"/>
          <w:szCs w:val="30"/>
        </w:rPr>
        <w:t>、规范排污口标识，完善危废暂存间建设，规范危废标识，建立健全危废贮存、转运台帐及规章制度。</w:t>
      </w:r>
    </w:p>
    <w:p>
      <w:pPr>
        <w:pStyle w:val="14"/>
        <w:spacing w:line="540" w:lineRule="exact"/>
        <w:ind w:firstLine="602"/>
        <w:rPr>
          <w:rFonts w:ascii="宋体" w:hAnsi="宋体" w:cs="宋体"/>
          <w:b/>
          <w:bCs/>
          <w:color w:val="auto"/>
          <w:sz w:val="30"/>
          <w:szCs w:val="30"/>
        </w:rPr>
      </w:pPr>
      <w:r>
        <w:rPr>
          <w:rFonts w:hint="eastAsia" w:ascii="宋体" w:hAnsi="宋体" w:cs="宋体"/>
          <w:b/>
          <w:bCs/>
          <w:color w:val="auto"/>
          <w:sz w:val="30"/>
          <w:szCs w:val="30"/>
        </w:rPr>
        <w:t>八、验收人员信息</w:t>
      </w:r>
    </w:p>
    <w:p>
      <w:pPr>
        <w:pStyle w:val="14"/>
        <w:spacing w:line="540" w:lineRule="exact"/>
        <w:ind w:firstLine="600"/>
        <w:rPr>
          <w:rFonts w:ascii="宋体" w:hAnsi="宋体" w:cs="宋体"/>
          <w:color w:val="auto"/>
          <w:sz w:val="30"/>
          <w:szCs w:val="30"/>
        </w:rPr>
      </w:pPr>
      <w:r>
        <w:rPr>
          <w:rFonts w:hint="eastAsia" w:ascii="宋体" w:hAnsi="宋体" w:cs="宋体"/>
          <w:color w:val="auto"/>
          <w:sz w:val="30"/>
          <w:szCs w:val="30"/>
        </w:rPr>
        <w:t>验收组名单见后</w:t>
      </w:r>
    </w:p>
    <w:p>
      <w:pPr>
        <w:pStyle w:val="14"/>
        <w:spacing w:line="540" w:lineRule="exact"/>
        <w:ind w:firstLine="600"/>
        <w:rPr>
          <w:rFonts w:ascii="宋体" w:hAnsi="宋体" w:cs="宋体"/>
          <w:color w:val="auto"/>
          <w:sz w:val="30"/>
          <w:szCs w:val="30"/>
        </w:rPr>
      </w:pPr>
      <w:r>
        <w:rPr>
          <w:rFonts w:hint="eastAsia" w:ascii="宋体" w:hAnsi="宋体" w:cs="宋体"/>
          <w:color w:val="auto"/>
          <w:sz w:val="30"/>
          <w:szCs w:val="30"/>
        </w:rPr>
        <w:t xml:space="preserve"> </w:t>
      </w:r>
    </w:p>
    <w:p>
      <w:pPr>
        <w:pStyle w:val="14"/>
        <w:spacing w:line="540" w:lineRule="exact"/>
        <w:ind w:firstLine="3150" w:firstLineChars="1050"/>
        <w:rPr>
          <w:rFonts w:hint="eastAsia" w:ascii="宋体" w:hAnsi="宋体" w:cs="宋体"/>
          <w:color w:val="auto"/>
          <w:sz w:val="30"/>
          <w:szCs w:val="30"/>
        </w:rPr>
      </w:pPr>
    </w:p>
    <w:p>
      <w:pPr>
        <w:pStyle w:val="14"/>
        <w:spacing w:line="540" w:lineRule="exact"/>
        <w:ind w:firstLine="3150" w:firstLineChars="1050"/>
        <w:rPr>
          <w:rFonts w:ascii="宋体" w:hAnsi="宋体" w:cs="宋体"/>
          <w:color w:val="auto"/>
          <w:sz w:val="30"/>
          <w:szCs w:val="30"/>
        </w:rPr>
      </w:pPr>
      <w:r>
        <w:rPr>
          <w:rFonts w:hint="eastAsia" w:ascii="宋体" w:hAnsi="宋体" w:cs="宋体"/>
          <w:color w:val="auto"/>
          <w:sz w:val="30"/>
          <w:szCs w:val="30"/>
        </w:rPr>
        <w:t>山西安得瑞防护设备有限公司</w:t>
      </w:r>
    </w:p>
    <w:p>
      <w:pPr>
        <w:pStyle w:val="14"/>
        <w:spacing w:line="540" w:lineRule="exact"/>
        <w:ind w:firstLine="600"/>
        <w:rPr>
          <w:rFonts w:ascii="宋体" w:hAnsi="宋体" w:cs="宋体"/>
          <w:b/>
          <w:bCs/>
          <w:color w:val="auto"/>
          <w:sz w:val="44"/>
          <w:szCs w:val="44"/>
        </w:rPr>
        <w:sectPr>
          <w:footerReference r:id="rId3" w:type="default"/>
          <w:pgSz w:w="11906" w:h="16838"/>
          <w:pgMar w:top="1440" w:right="1800" w:bottom="1440" w:left="1800" w:header="851" w:footer="992" w:gutter="0"/>
          <w:cols w:space="425" w:num="1"/>
          <w:docGrid w:type="lines" w:linePitch="312" w:charSpace="0"/>
        </w:sectPr>
      </w:pPr>
      <w:r>
        <w:rPr>
          <w:rFonts w:hint="eastAsia" w:ascii="宋体" w:hAnsi="宋体" w:cs="宋体"/>
          <w:color w:val="auto"/>
          <w:sz w:val="30"/>
          <w:szCs w:val="30"/>
        </w:rPr>
        <w:t xml:space="preserve">                    </w:t>
      </w:r>
      <w:r>
        <w:rPr>
          <w:rFonts w:hint="eastAsia" w:ascii="宋体" w:hAnsi="宋体" w:cs="宋体"/>
          <w:color w:val="auto"/>
          <w:sz w:val="32"/>
          <w:szCs w:val="32"/>
        </w:rPr>
        <w:t xml:space="preserve"> </w:t>
      </w:r>
      <w:r>
        <w:rPr>
          <w:rFonts w:hint="eastAsia" w:ascii="宋体" w:hAnsi="宋体" w:cs="宋体"/>
          <w:color w:val="auto"/>
          <w:sz w:val="30"/>
          <w:szCs w:val="30"/>
        </w:rPr>
        <w:t xml:space="preserve"> 2023年</w:t>
      </w:r>
      <w:r>
        <w:rPr>
          <w:rFonts w:hint="eastAsia" w:ascii="宋体" w:hAnsi="宋体" w:cs="宋体"/>
          <w:color w:val="auto"/>
          <w:sz w:val="30"/>
          <w:szCs w:val="30"/>
          <w:lang w:eastAsia="zh"/>
        </w:rPr>
        <w:t>12</w:t>
      </w:r>
      <w:r>
        <w:rPr>
          <w:rFonts w:hint="eastAsia" w:ascii="宋体" w:hAnsi="宋体" w:cs="宋体"/>
          <w:color w:val="auto"/>
          <w:sz w:val="30"/>
          <w:szCs w:val="30"/>
        </w:rPr>
        <w:t>月</w:t>
      </w:r>
      <w:r>
        <w:rPr>
          <w:rFonts w:ascii="宋体" w:hAnsi="宋体" w:cs="宋体"/>
          <w:color w:val="auto"/>
          <w:sz w:val="30"/>
          <w:szCs w:val="30"/>
        </w:rPr>
        <w:t>15</w:t>
      </w:r>
      <w:r>
        <w:rPr>
          <w:rFonts w:hint="eastAsia" w:ascii="宋体" w:hAnsi="宋体" w:cs="宋体"/>
          <w:color w:val="auto"/>
          <w:sz w:val="30"/>
          <w:szCs w:val="30"/>
        </w:rPr>
        <w:t>日</w:t>
      </w:r>
    </w:p>
    <w:p>
      <w:pPr>
        <w:jc w:val="center"/>
        <w:rPr>
          <w:rFonts w:hint="default" w:eastAsia="宋体"/>
          <w:color w:val="auto"/>
          <w:lang w:val="en-US" w:eastAsia="zh-CN"/>
        </w:rPr>
      </w:pPr>
      <w:bookmarkStart w:id="0" w:name="_GoBack"/>
      <w:bookmarkEnd w:id="0"/>
      <w:r>
        <w:drawing>
          <wp:inline distT="0" distB="0" distL="114300" distR="114300">
            <wp:extent cx="6048375" cy="8098790"/>
            <wp:effectExtent l="0" t="0" r="1651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rot="16200000">
                      <a:off x="0" y="0"/>
                      <a:ext cx="6048375" cy="8098790"/>
                    </a:xfrm>
                    <a:prstGeom prst="rect">
                      <a:avLst/>
                    </a:prstGeom>
                    <a:noFill/>
                    <a:ln>
                      <a:noFill/>
                    </a:ln>
                  </pic:spPr>
                </pic:pic>
              </a:graphicData>
            </a:graphic>
          </wp:inline>
        </w:drawing>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汉仪中宋简">
    <w:altName w:val="微软雅黑"/>
    <w:panose1 w:val="00000000000000000000"/>
    <w:charset w:val="86"/>
    <w:family w:val="auto"/>
    <w:pitch w:val="default"/>
    <w:sig w:usb0="00000000" w:usb1="00000000" w:usb2="00000002"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49345782"/>
    </w:sdtPr>
    <w:sdtContent>
      <w:p>
        <w:pPr>
          <w:pStyle w:val="7"/>
          <w:jc w:val="center"/>
        </w:pPr>
        <w:r>
          <w:fldChar w:fldCharType="begin"/>
        </w:r>
        <w:r>
          <w:instrText xml:space="preserve">PAGE   \* MERGEFORMAT</w:instrText>
        </w:r>
        <w:r>
          <w:fldChar w:fldCharType="separate"/>
        </w:r>
        <w:r>
          <w:rPr>
            <w:lang w:val="zh-CN"/>
          </w:rPr>
          <w:t>1</w:t>
        </w:r>
        <w:r>
          <w:fldChar w:fldCharType="end"/>
        </w:r>
      </w:p>
    </w:sdtContent>
  </w:sdt>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3N2Y5ZDgzMjdlYTkzNjdjMTY4OGRmZDhlMzE1OTUifQ=="/>
  </w:docVars>
  <w:rsids>
    <w:rsidRoot w:val="002531C3"/>
    <w:rsid w:val="00000C0A"/>
    <w:rsid w:val="00007417"/>
    <w:rsid w:val="00036C2F"/>
    <w:rsid w:val="000728E6"/>
    <w:rsid w:val="0008578A"/>
    <w:rsid w:val="000A33B7"/>
    <w:rsid w:val="000A7140"/>
    <w:rsid w:val="000B3CD1"/>
    <w:rsid w:val="000C40B0"/>
    <w:rsid w:val="000C6FFE"/>
    <w:rsid w:val="000D3837"/>
    <w:rsid w:val="000E6F7A"/>
    <w:rsid w:val="00103B18"/>
    <w:rsid w:val="00120B7B"/>
    <w:rsid w:val="001720A9"/>
    <w:rsid w:val="00175A24"/>
    <w:rsid w:val="00187999"/>
    <w:rsid w:val="001B6EBD"/>
    <w:rsid w:val="00244D87"/>
    <w:rsid w:val="002531C3"/>
    <w:rsid w:val="00262D85"/>
    <w:rsid w:val="00276694"/>
    <w:rsid w:val="002C1F52"/>
    <w:rsid w:val="002D2436"/>
    <w:rsid w:val="002D7E99"/>
    <w:rsid w:val="00312CA8"/>
    <w:rsid w:val="00316CA4"/>
    <w:rsid w:val="0032080C"/>
    <w:rsid w:val="0032658B"/>
    <w:rsid w:val="00340087"/>
    <w:rsid w:val="00380A8C"/>
    <w:rsid w:val="00390F3E"/>
    <w:rsid w:val="003926AC"/>
    <w:rsid w:val="003D2219"/>
    <w:rsid w:val="003D6448"/>
    <w:rsid w:val="003D7FAE"/>
    <w:rsid w:val="003F4CEB"/>
    <w:rsid w:val="003F772F"/>
    <w:rsid w:val="00416843"/>
    <w:rsid w:val="004304D7"/>
    <w:rsid w:val="00435B3B"/>
    <w:rsid w:val="00490E97"/>
    <w:rsid w:val="00492DDF"/>
    <w:rsid w:val="004A03CD"/>
    <w:rsid w:val="004B2961"/>
    <w:rsid w:val="004C424D"/>
    <w:rsid w:val="004D6154"/>
    <w:rsid w:val="004E3CAE"/>
    <w:rsid w:val="005051F1"/>
    <w:rsid w:val="00541632"/>
    <w:rsid w:val="005476B3"/>
    <w:rsid w:val="005830AF"/>
    <w:rsid w:val="005B2040"/>
    <w:rsid w:val="005C014F"/>
    <w:rsid w:val="0063767E"/>
    <w:rsid w:val="00654572"/>
    <w:rsid w:val="00665A70"/>
    <w:rsid w:val="006A2DBE"/>
    <w:rsid w:val="006B74EC"/>
    <w:rsid w:val="006C3AB3"/>
    <w:rsid w:val="00741899"/>
    <w:rsid w:val="0075734A"/>
    <w:rsid w:val="00772277"/>
    <w:rsid w:val="007925CF"/>
    <w:rsid w:val="007A2874"/>
    <w:rsid w:val="007B1627"/>
    <w:rsid w:val="007C2651"/>
    <w:rsid w:val="00800EBB"/>
    <w:rsid w:val="00822F29"/>
    <w:rsid w:val="00861E91"/>
    <w:rsid w:val="00877E37"/>
    <w:rsid w:val="008A25B1"/>
    <w:rsid w:val="008B6E89"/>
    <w:rsid w:val="008F7A6B"/>
    <w:rsid w:val="00917B32"/>
    <w:rsid w:val="00984824"/>
    <w:rsid w:val="00985E55"/>
    <w:rsid w:val="0099125E"/>
    <w:rsid w:val="009941EE"/>
    <w:rsid w:val="009F35F6"/>
    <w:rsid w:val="009F6C28"/>
    <w:rsid w:val="00A4067A"/>
    <w:rsid w:val="00A6766B"/>
    <w:rsid w:val="00B11960"/>
    <w:rsid w:val="00B368BF"/>
    <w:rsid w:val="00B560DE"/>
    <w:rsid w:val="00B84D27"/>
    <w:rsid w:val="00B928AC"/>
    <w:rsid w:val="00BA7503"/>
    <w:rsid w:val="00BB0673"/>
    <w:rsid w:val="00BE7073"/>
    <w:rsid w:val="00C26332"/>
    <w:rsid w:val="00C33D0D"/>
    <w:rsid w:val="00C95631"/>
    <w:rsid w:val="00CD11F4"/>
    <w:rsid w:val="00D17E00"/>
    <w:rsid w:val="00D3592B"/>
    <w:rsid w:val="00D95D08"/>
    <w:rsid w:val="00DC24C7"/>
    <w:rsid w:val="00DD2102"/>
    <w:rsid w:val="00DD2EE4"/>
    <w:rsid w:val="00DE32AA"/>
    <w:rsid w:val="00DE78B8"/>
    <w:rsid w:val="00DF1637"/>
    <w:rsid w:val="00E24748"/>
    <w:rsid w:val="00E43D80"/>
    <w:rsid w:val="00E76FCC"/>
    <w:rsid w:val="00E84B0A"/>
    <w:rsid w:val="00EA1CB6"/>
    <w:rsid w:val="00EB0D5F"/>
    <w:rsid w:val="00ED0D2C"/>
    <w:rsid w:val="00F41828"/>
    <w:rsid w:val="00FA0634"/>
    <w:rsid w:val="00FD53ED"/>
    <w:rsid w:val="00FE66D2"/>
    <w:rsid w:val="00FF7F52"/>
    <w:rsid w:val="061822CD"/>
    <w:rsid w:val="152C0C04"/>
    <w:rsid w:val="20DC2E9E"/>
    <w:rsid w:val="28B54DB0"/>
    <w:rsid w:val="2B796202"/>
    <w:rsid w:val="2FEE6EA7"/>
    <w:rsid w:val="33D2428D"/>
    <w:rsid w:val="37F73820"/>
    <w:rsid w:val="3C3B6812"/>
    <w:rsid w:val="3DDF0C70"/>
    <w:rsid w:val="3F395AE9"/>
    <w:rsid w:val="3FEB29BB"/>
    <w:rsid w:val="471F7701"/>
    <w:rsid w:val="4A2C01D5"/>
    <w:rsid w:val="4DAD0CD2"/>
    <w:rsid w:val="502A1CE1"/>
    <w:rsid w:val="52D12BBB"/>
    <w:rsid w:val="55BC5ED9"/>
    <w:rsid w:val="55F6EB8F"/>
    <w:rsid w:val="566B4A80"/>
    <w:rsid w:val="5B665F9C"/>
    <w:rsid w:val="5B777E70"/>
    <w:rsid w:val="5C7756FC"/>
    <w:rsid w:val="628759A7"/>
    <w:rsid w:val="66693F13"/>
    <w:rsid w:val="67FF683F"/>
    <w:rsid w:val="6B9F5D10"/>
    <w:rsid w:val="6EF61A39"/>
    <w:rsid w:val="6F9D5D04"/>
    <w:rsid w:val="6F9FA5EE"/>
    <w:rsid w:val="707574F6"/>
    <w:rsid w:val="7502522C"/>
    <w:rsid w:val="754C74E4"/>
    <w:rsid w:val="77BF4EE2"/>
    <w:rsid w:val="77F72569"/>
    <w:rsid w:val="7B73EA88"/>
    <w:rsid w:val="7B9E68F9"/>
    <w:rsid w:val="7BFFAE93"/>
    <w:rsid w:val="7BFFFD66"/>
    <w:rsid w:val="7DDBE77B"/>
    <w:rsid w:val="7F71CCD6"/>
    <w:rsid w:val="7F926591"/>
    <w:rsid w:val="7FDB1772"/>
    <w:rsid w:val="7FF293AD"/>
    <w:rsid w:val="BAFAA701"/>
    <w:rsid w:val="BDBF63CF"/>
    <w:rsid w:val="BEFFC50F"/>
    <w:rsid w:val="BFFB7577"/>
    <w:rsid w:val="C7DD7026"/>
    <w:rsid w:val="D73FA25B"/>
    <w:rsid w:val="DE370A39"/>
    <w:rsid w:val="DF9F52DF"/>
    <w:rsid w:val="DFBC868E"/>
    <w:rsid w:val="E7CB60DA"/>
    <w:rsid w:val="E7F32E26"/>
    <w:rsid w:val="EF6A6ED6"/>
    <w:rsid w:val="EFFFF4ED"/>
    <w:rsid w:val="F3E728E2"/>
    <w:rsid w:val="F77B90F1"/>
    <w:rsid w:val="F97D6F90"/>
    <w:rsid w:val="F9FFDF01"/>
    <w:rsid w:val="FBF5174A"/>
    <w:rsid w:val="FDDF4F17"/>
    <w:rsid w:val="FEFF324B"/>
    <w:rsid w:val="FEFFABB8"/>
    <w:rsid w:val="FF4F2022"/>
    <w:rsid w:val="FFFEEE12"/>
    <w:rsid w:val="FFFF1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autoRedefine/>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next w:val="1"/>
    <w:autoRedefine/>
    <w:qFormat/>
    <w:uiPriority w:val="0"/>
    <w:pPr>
      <w:overflowPunct w:val="0"/>
      <w:autoSpaceDE w:val="0"/>
      <w:spacing w:line="400" w:lineRule="exact"/>
      <w:ind w:firstLine="454" w:firstLineChars="200"/>
    </w:pPr>
    <w:rPr>
      <w:rFonts w:ascii="Times New Roman" w:hAnsi="Times New Roman"/>
      <w:kern w:val="0"/>
      <w:sz w:val="24"/>
      <w:szCs w:val="20"/>
    </w:rPr>
  </w:style>
  <w:style w:type="paragraph" w:styleId="3">
    <w:name w:val="Body Text"/>
    <w:basedOn w:val="1"/>
    <w:autoRedefine/>
    <w:qFormat/>
    <w:uiPriority w:val="0"/>
    <w:rPr>
      <w:sz w:val="28"/>
    </w:rPr>
  </w:style>
  <w:style w:type="paragraph" w:styleId="4">
    <w:name w:val="Body Text Indent"/>
    <w:basedOn w:val="1"/>
    <w:next w:val="5"/>
    <w:autoRedefine/>
    <w:qFormat/>
    <w:uiPriority w:val="99"/>
    <w:pPr>
      <w:adjustRightInd w:val="0"/>
      <w:snapToGrid w:val="0"/>
      <w:spacing w:line="360" w:lineRule="auto"/>
      <w:ind w:firstLine="448"/>
    </w:pPr>
    <w:rPr>
      <w:rFonts w:ascii="宋体"/>
      <w:sz w:val="24"/>
    </w:rPr>
  </w:style>
  <w:style w:type="paragraph" w:styleId="5">
    <w:name w:val="Body Text First Indent 2"/>
    <w:basedOn w:val="4"/>
    <w:next w:val="1"/>
    <w:qFormat/>
    <w:uiPriority w:val="99"/>
    <w:pPr>
      <w:ind w:firstLine="420" w:firstLineChars="200"/>
    </w:pPr>
  </w:style>
  <w:style w:type="paragraph" w:styleId="6">
    <w:name w:val="Plain Text"/>
    <w:basedOn w:val="1"/>
    <w:next w:val="1"/>
    <w:link w:val="18"/>
    <w:unhideWhenUsed/>
    <w:qFormat/>
    <w:uiPriority w:val="0"/>
    <w:rPr>
      <w:rFonts w:ascii="宋体" w:hAnsi="Courier New" w:cs="Courier New"/>
      <w:szCs w:val="21"/>
    </w:rPr>
  </w:style>
  <w:style w:type="paragraph" w:styleId="7">
    <w:name w:val="footer"/>
    <w:basedOn w:val="1"/>
    <w:link w:val="20"/>
    <w:autoRedefine/>
    <w:unhideWhenUsed/>
    <w:qFormat/>
    <w:uiPriority w:val="99"/>
    <w:pPr>
      <w:tabs>
        <w:tab w:val="center" w:pos="4153"/>
        <w:tab w:val="right" w:pos="8306"/>
      </w:tabs>
      <w:snapToGrid w:val="0"/>
      <w:jc w:val="left"/>
    </w:pPr>
    <w:rPr>
      <w:sz w:val="18"/>
      <w:szCs w:val="18"/>
    </w:rPr>
  </w:style>
  <w:style w:type="paragraph" w:styleId="8">
    <w:name w:val="header"/>
    <w:basedOn w:val="1"/>
    <w:link w:val="19"/>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autoRedefine/>
    <w:unhideWhenUsed/>
    <w:qFormat/>
    <w:uiPriority w:val="99"/>
    <w:rPr>
      <w:color w:val="0563C1" w:themeColor="hyperlink"/>
      <w:u w:val="single"/>
      <w14:textFill>
        <w14:solidFill>
          <w14:schemeClr w14:val="hlink"/>
        </w14:solidFill>
      </w14:textFill>
    </w:rPr>
  </w:style>
  <w:style w:type="character" w:customStyle="1" w:styleId="13">
    <w:name w:val="纯文本 字符"/>
    <w:basedOn w:val="11"/>
    <w:autoRedefine/>
    <w:qFormat/>
    <w:uiPriority w:val="0"/>
    <w:rPr>
      <w:rFonts w:hAnsi="Courier New" w:cs="Courier New" w:asciiTheme="minorEastAsia"/>
      <w:szCs w:val="24"/>
    </w:rPr>
  </w:style>
  <w:style w:type="paragraph" w:styleId="14">
    <w:name w:val="List Paragraph"/>
    <w:basedOn w:val="1"/>
    <w:autoRedefine/>
    <w:qFormat/>
    <w:uiPriority w:val="0"/>
    <w:pPr>
      <w:ind w:firstLine="420" w:firstLineChars="200"/>
    </w:pPr>
    <w:rPr>
      <w:rFonts w:ascii="Times New Roman" w:hAnsi="Times New Roman"/>
      <w:szCs w:val="20"/>
    </w:rPr>
  </w:style>
  <w:style w:type="paragraph" w:customStyle="1" w:styleId="15">
    <w:name w:val="表格文字"/>
    <w:basedOn w:val="16"/>
    <w:next w:val="1"/>
    <w:autoRedefine/>
    <w:qFormat/>
    <w:uiPriority w:val="0"/>
    <w:pPr>
      <w:spacing w:line="360" w:lineRule="exact"/>
      <w:jc w:val="center"/>
    </w:pPr>
    <w:rPr>
      <w:rFonts w:hAnsi="宋体" w:cs="宋体"/>
      <w:bCs/>
      <w:spacing w:val="4"/>
      <w:kern w:val="0"/>
      <w:szCs w:val="21"/>
    </w:rPr>
  </w:style>
  <w:style w:type="paragraph" w:customStyle="1" w:styleId="16">
    <w:name w:val="朔电正文"/>
    <w:basedOn w:val="1"/>
    <w:autoRedefine/>
    <w:qFormat/>
    <w:uiPriority w:val="0"/>
    <w:pPr>
      <w:adjustRightInd w:val="0"/>
      <w:snapToGrid w:val="0"/>
      <w:spacing w:beforeLines="25" w:line="440" w:lineRule="exact"/>
      <w:ind w:firstLine="200" w:firstLineChars="200"/>
    </w:pPr>
    <w:rPr>
      <w:color w:val="000000"/>
    </w:rPr>
  </w:style>
  <w:style w:type="paragraph" w:customStyle="1" w:styleId="17">
    <w:name w:val="Default"/>
    <w:next w:val="15"/>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18">
    <w:name w:val="纯文本 字符1"/>
    <w:basedOn w:val="11"/>
    <w:link w:val="6"/>
    <w:autoRedefine/>
    <w:semiHidden/>
    <w:qFormat/>
    <w:locked/>
    <w:uiPriority w:val="0"/>
    <w:rPr>
      <w:rFonts w:ascii="宋体" w:hAnsi="Courier New" w:eastAsia="宋体" w:cs="Courier New"/>
      <w:szCs w:val="21"/>
    </w:rPr>
  </w:style>
  <w:style w:type="character" w:customStyle="1" w:styleId="19">
    <w:name w:val="页眉 字符"/>
    <w:basedOn w:val="11"/>
    <w:link w:val="8"/>
    <w:autoRedefine/>
    <w:qFormat/>
    <w:uiPriority w:val="99"/>
    <w:rPr>
      <w:rFonts w:ascii="Calibri" w:hAnsi="Calibri" w:eastAsia="宋体" w:cs="Times New Roman"/>
      <w:sz w:val="18"/>
      <w:szCs w:val="18"/>
    </w:rPr>
  </w:style>
  <w:style w:type="character" w:customStyle="1" w:styleId="20">
    <w:name w:val="页脚 字符"/>
    <w:basedOn w:val="11"/>
    <w:link w:val="7"/>
    <w:autoRedefine/>
    <w:qFormat/>
    <w:uiPriority w:val="99"/>
    <w:rPr>
      <w:rFonts w:ascii="Calibri" w:hAnsi="Calibri" w:eastAsia="宋体" w:cs="Times New Roman"/>
      <w:sz w:val="18"/>
      <w:szCs w:val="18"/>
    </w:rPr>
  </w:style>
  <w:style w:type="paragraph" w:customStyle="1" w:styleId="21">
    <w:name w:val="列出段落1"/>
    <w:basedOn w:val="1"/>
    <w:autoRedefine/>
    <w:qFormat/>
    <w:uiPriority w:val="0"/>
    <w:pPr>
      <w:ind w:firstLine="420" w:firstLineChars="200"/>
    </w:pPr>
    <w:rPr>
      <w:rFonts w:ascii="Times New Roman" w:hAnsi="Times New Roman"/>
      <w:szCs w:val="20"/>
    </w:rPr>
  </w:style>
  <w:style w:type="paragraph" w:customStyle="1" w:styleId="22">
    <w:name w:val="正文1"/>
    <w:basedOn w:val="1"/>
    <w:link w:val="23"/>
    <w:autoRedefine/>
    <w:qFormat/>
    <w:uiPriority w:val="0"/>
    <w:pPr>
      <w:widowControl/>
      <w:adjustRightInd w:val="0"/>
      <w:snapToGrid w:val="0"/>
      <w:spacing w:after="200" w:line="460" w:lineRule="exact"/>
      <w:ind w:firstLine="200" w:firstLineChars="200"/>
      <w:jc w:val="left"/>
    </w:pPr>
    <w:rPr>
      <w:rFonts w:ascii="Tahoma" w:hAnsi="Tahoma"/>
      <w:b/>
      <w:bCs/>
      <w:sz w:val="24"/>
    </w:rPr>
  </w:style>
  <w:style w:type="character" w:customStyle="1" w:styleId="23">
    <w:name w:val="正文1 Char"/>
    <w:link w:val="22"/>
    <w:autoRedefine/>
    <w:qFormat/>
    <w:uiPriority w:val="0"/>
    <w:rPr>
      <w:rFonts w:ascii="Tahoma" w:hAnsi="Tahoma" w:eastAsia="宋体" w:cs="Times New Roman"/>
      <w:b/>
      <w:bCs/>
      <w:kern w:val="2"/>
      <w:sz w:val="24"/>
      <w:szCs w:val="24"/>
    </w:rPr>
  </w:style>
  <w:style w:type="character" w:customStyle="1" w:styleId="24">
    <w:name w:val="样式 宋体 加粗"/>
    <w:autoRedefine/>
    <w:qFormat/>
    <w:uiPriority w:val="0"/>
    <w:rPr>
      <w:rFonts w:ascii="Times New Roman" w:hAnsi="Times New Roman" w:eastAsia="宋体"/>
      <w:b/>
      <w:bCs/>
      <w:sz w:val="21"/>
    </w:rPr>
  </w:style>
  <w:style w:type="paragraph" w:customStyle="1" w:styleId="25">
    <w:name w:val="表格内容 lixiaow"/>
    <w:autoRedefine/>
    <w:qFormat/>
    <w:uiPriority w:val="0"/>
    <w:pPr>
      <w:widowControl w:val="0"/>
      <w:snapToGrid w:val="0"/>
      <w:spacing w:line="240" w:lineRule="atLeast"/>
      <w:jc w:val="center"/>
    </w:pPr>
    <w:rPr>
      <w:rFonts w:ascii="Times New Roman" w:hAnsi="Times New Roman" w:eastAsia="宋体" w:cs="Times New Roman"/>
      <w:szCs w:val="24"/>
      <w:lang w:val="en-US" w:eastAsia="zh-CN" w:bidi="ar-SA"/>
    </w:rPr>
  </w:style>
  <w:style w:type="character" w:customStyle="1" w:styleId="26">
    <w:name w:val="未处理的提及1"/>
    <w:basedOn w:val="11"/>
    <w:autoRedefine/>
    <w:semiHidden/>
    <w:unhideWhenUsed/>
    <w:qFormat/>
    <w:uiPriority w:val="99"/>
    <w:rPr>
      <w:color w:val="605E5C"/>
      <w:shd w:val="clear" w:color="auto" w:fill="E1DFDD"/>
    </w:rPr>
  </w:style>
  <w:style w:type="paragraph" w:customStyle="1" w:styleId="27">
    <w:name w:val="表格"/>
    <w:basedOn w:val="3"/>
    <w:next w:val="1"/>
    <w:autoRedefine/>
    <w:qFormat/>
    <w:uiPriority w:val="0"/>
    <w:pPr>
      <w:spacing w:line="280" w:lineRule="exact"/>
      <w:jc w:val="center"/>
    </w:pPr>
    <w:rPr>
      <w:rFonts w:ascii="Times New Roman" w:hAnsi="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1200</Words>
  <Characters>6845</Characters>
  <Lines>57</Lines>
  <Paragraphs>16</Paragraphs>
  <TotalTime>0</TotalTime>
  <ScaleCrop>false</ScaleCrop>
  <LinksUpToDate>false</LinksUpToDate>
  <CharactersWithSpaces>8029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2023-04-01T23:30:00Z</dcterms:created>
  <dc:creator>微软用户</dc:creator>
  <cp:lastModifiedBy>A personゞ</cp:lastModifiedBy>
  <dcterms:modified xsi:type="dcterms:W3CDTF">2023-12-20T00:47:16Z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EF64EE5A0C5B4D9DAEE26B7A5B7B49DC_13</vt:lpwstr>
  </property>
</Properties>
</file>